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184B" w14:textId="77777777" w:rsidR="002511AA" w:rsidRPr="00B74ACD" w:rsidRDefault="002511AA" w:rsidP="002511AA">
      <w:pPr>
        <w:tabs>
          <w:tab w:val="left" w:pos="5040"/>
        </w:tabs>
        <w:rPr>
          <w:rFonts w:eastAsia="Calibri"/>
          <w:b/>
          <w:bCs w:val="0"/>
          <w:caps/>
          <w:sz w:val="24"/>
          <w:lang w:eastAsia="en-US"/>
        </w:rPr>
      </w:pPr>
      <w:bookmarkStart w:id="0" w:name="_GoBack"/>
      <w:bookmarkEnd w:id="0"/>
      <w:r w:rsidRPr="006F7341">
        <w:rPr>
          <w:b/>
          <w:smallCaps/>
          <w:sz w:val="28"/>
          <w:szCs w:val="28"/>
        </w:rPr>
        <w:t xml:space="preserve">Deklaration </w:t>
      </w:r>
      <w:r>
        <w:rPr>
          <w:b/>
          <w:smallCaps/>
          <w:sz w:val="28"/>
          <w:szCs w:val="28"/>
        </w:rPr>
        <w:t xml:space="preserve">Wohnungsnutzung nach ZWG </w:t>
      </w:r>
      <w:r w:rsidRPr="006F7341">
        <w:rPr>
          <w:b/>
          <w:smallCaps/>
          <w:sz w:val="28"/>
          <w:szCs w:val="28"/>
        </w:rPr>
        <w:t>(Beilage zu 1.0)</w:t>
      </w:r>
    </w:p>
    <w:p w14:paraId="6D99CCE9" w14:textId="77777777" w:rsidR="002511AA" w:rsidRPr="0013387E" w:rsidRDefault="002511AA" w:rsidP="002511AA">
      <w:pPr>
        <w:tabs>
          <w:tab w:val="left" w:pos="5040"/>
        </w:tabs>
        <w:rPr>
          <w:sz w:val="16"/>
          <w:szCs w:val="16"/>
        </w:rPr>
      </w:pPr>
      <w:r>
        <w:rPr>
          <w:sz w:val="16"/>
          <w:szCs w:val="16"/>
        </w:rPr>
        <w:t>Pro Wohnung ist ein Formular auszufüllen</w:t>
      </w:r>
    </w:p>
    <w:p w14:paraId="4056F46A" w14:textId="77777777" w:rsidR="002511AA" w:rsidRPr="001238D3" w:rsidRDefault="002511AA" w:rsidP="002511AA">
      <w:pPr>
        <w:rPr>
          <w:sz w:val="16"/>
          <w:szCs w:val="16"/>
        </w:rPr>
      </w:pPr>
      <w:r>
        <w:rPr>
          <w:sz w:val="16"/>
          <w:szCs w:val="16"/>
        </w:rPr>
        <w:t xml:space="preserve">Grundlage: </w:t>
      </w:r>
      <w:r w:rsidRPr="001238D3">
        <w:rPr>
          <w:sz w:val="16"/>
          <w:szCs w:val="16"/>
        </w:rPr>
        <w:t>Bundesgesetz über Zweitwohnungen vom 20. März 2015 (ZWG)</w:t>
      </w:r>
    </w:p>
    <w:p w14:paraId="62EB6464" w14:textId="77777777" w:rsidR="002511AA" w:rsidRPr="001238D3" w:rsidRDefault="002511AA" w:rsidP="002511AA">
      <w:pPr>
        <w:pBdr>
          <w:bottom w:val="single" w:sz="4" w:space="1" w:color="auto"/>
        </w:pBdr>
        <w:tabs>
          <w:tab w:val="left" w:pos="5040"/>
        </w:tabs>
        <w:rPr>
          <w:szCs w:val="20"/>
        </w:rPr>
      </w:pPr>
    </w:p>
    <w:p w14:paraId="7B774104" w14:textId="77777777" w:rsidR="002511AA" w:rsidRPr="001238D3" w:rsidRDefault="002511AA" w:rsidP="002511AA">
      <w:pPr>
        <w:rPr>
          <w:szCs w:val="20"/>
        </w:rPr>
      </w:pPr>
    </w:p>
    <w:p w14:paraId="29063DDA" w14:textId="77777777" w:rsidR="002511AA" w:rsidRPr="001238D3" w:rsidRDefault="002511AA" w:rsidP="002511AA">
      <w:pPr>
        <w:tabs>
          <w:tab w:val="left" w:pos="5040"/>
        </w:tabs>
        <w:rPr>
          <w:szCs w:val="20"/>
        </w:rPr>
      </w:pPr>
      <w:r w:rsidRPr="001238D3">
        <w:rPr>
          <w:szCs w:val="20"/>
        </w:rPr>
        <w:t>Bauherrschaft (Vorname, Name, Adresse, PLZ, Ort):</w:t>
      </w:r>
    </w:p>
    <w:p w14:paraId="6F7F905C" w14:textId="77777777" w:rsidR="002511AA" w:rsidRPr="001238D3" w:rsidRDefault="002511AA" w:rsidP="002511AA">
      <w:pPr>
        <w:tabs>
          <w:tab w:val="left" w:pos="5040"/>
        </w:tabs>
        <w:rPr>
          <w:szCs w:val="20"/>
        </w:rPr>
      </w:pPr>
    </w:p>
    <w:p w14:paraId="0BD21428" w14:textId="77777777" w:rsidR="002511AA" w:rsidRPr="001238D3" w:rsidRDefault="002511AA" w:rsidP="002511AA">
      <w:pPr>
        <w:tabs>
          <w:tab w:val="left" w:pos="5040"/>
        </w:tabs>
        <w:rPr>
          <w:szCs w:val="20"/>
        </w:rPr>
      </w:pPr>
      <w:r w:rsidRPr="001238D3">
        <w:rPr>
          <w:szCs w:val="20"/>
        </w:rPr>
        <w:t>……………………………………………………………………………………………………………….</w:t>
      </w:r>
    </w:p>
    <w:p w14:paraId="155C0A64" w14:textId="77777777" w:rsidR="002511AA" w:rsidRPr="001238D3" w:rsidRDefault="002511AA" w:rsidP="002511AA">
      <w:pPr>
        <w:tabs>
          <w:tab w:val="left" w:pos="5040"/>
        </w:tabs>
        <w:rPr>
          <w:szCs w:val="20"/>
        </w:rPr>
      </w:pPr>
    </w:p>
    <w:p w14:paraId="0707593A" w14:textId="77777777" w:rsidR="002511AA" w:rsidRPr="001238D3" w:rsidRDefault="002511AA" w:rsidP="002511AA">
      <w:pPr>
        <w:tabs>
          <w:tab w:val="left" w:pos="5040"/>
        </w:tabs>
        <w:rPr>
          <w:szCs w:val="20"/>
        </w:rPr>
      </w:pPr>
      <w:r w:rsidRPr="001238D3">
        <w:rPr>
          <w:szCs w:val="20"/>
        </w:rPr>
        <w:t>Parzelle Nr.: ………………… Adresse:………………………………………………………………….</w:t>
      </w:r>
    </w:p>
    <w:p w14:paraId="3FF6B0B4" w14:textId="77777777" w:rsidR="002511AA" w:rsidRPr="001238D3" w:rsidRDefault="002511AA" w:rsidP="002511AA">
      <w:pPr>
        <w:tabs>
          <w:tab w:val="left" w:pos="5040"/>
        </w:tabs>
        <w:rPr>
          <w:szCs w:val="20"/>
        </w:rPr>
      </w:pPr>
    </w:p>
    <w:p w14:paraId="75E5D0CA" w14:textId="77777777" w:rsidR="002511AA" w:rsidRPr="001238D3" w:rsidRDefault="002511AA" w:rsidP="002511AA">
      <w:pPr>
        <w:tabs>
          <w:tab w:val="left" w:pos="5040"/>
        </w:tabs>
        <w:rPr>
          <w:szCs w:val="20"/>
        </w:rPr>
      </w:pPr>
      <w:r w:rsidRPr="001238D3">
        <w:rPr>
          <w:szCs w:val="20"/>
        </w:rPr>
        <w:t>Genaue Lage (</w:t>
      </w:r>
      <w:proofErr w:type="spellStart"/>
      <w:r w:rsidRPr="001238D3">
        <w:rPr>
          <w:szCs w:val="20"/>
        </w:rPr>
        <w:t>zB</w:t>
      </w:r>
      <w:proofErr w:type="spellEnd"/>
      <w:r w:rsidRPr="001238D3">
        <w:rPr>
          <w:szCs w:val="20"/>
        </w:rPr>
        <w:t>. 3,5-Zimmerwohnung EG Südost):</w:t>
      </w:r>
    </w:p>
    <w:p w14:paraId="0C87C8B3" w14:textId="77777777" w:rsidR="002511AA" w:rsidRPr="001238D3" w:rsidRDefault="002511AA" w:rsidP="002511AA">
      <w:pPr>
        <w:tabs>
          <w:tab w:val="left" w:pos="5040"/>
        </w:tabs>
        <w:rPr>
          <w:szCs w:val="20"/>
        </w:rPr>
      </w:pPr>
    </w:p>
    <w:p w14:paraId="502B437B" w14:textId="77777777" w:rsidR="002511AA" w:rsidRPr="001238D3" w:rsidRDefault="002511AA" w:rsidP="002511AA">
      <w:pPr>
        <w:tabs>
          <w:tab w:val="left" w:pos="5040"/>
        </w:tabs>
        <w:rPr>
          <w:szCs w:val="20"/>
        </w:rPr>
      </w:pPr>
      <w:r w:rsidRPr="001238D3">
        <w:rPr>
          <w:szCs w:val="20"/>
        </w:rPr>
        <w:t>…………………………………………………………………………………………………………...…..</w:t>
      </w:r>
    </w:p>
    <w:p w14:paraId="26C8B853" w14:textId="77777777" w:rsidR="002511AA" w:rsidRPr="001238D3" w:rsidRDefault="002511AA" w:rsidP="002511AA">
      <w:pPr>
        <w:tabs>
          <w:tab w:val="left" w:pos="5040"/>
        </w:tabs>
        <w:rPr>
          <w:szCs w:val="20"/>
        </w:rPr>
      </w:pPr>
    </w:p>
    <w:p w14:paraId="7D541E8B" w14:textId="77777777" w:rsidR="002511AA" w:rsidRPr="001238D3" w:rsidRDefault="002511AA" w:rsidP="002511AA">
      <w:pPr>
        <w:tabs>
          <w:tab w:val="left" w:pos="5040"/>
        </w:tabs>
        <w:rPr>
          <w:szCs w:val="20"/>
        </w:rPr>
      </w:pPr>
      <w:r w:rsidRPr="001238D3">
        <w:rPr>
          <w:szCs w:val="20"/>
        </w:rPr>
        <w:t xml:space="preserve">Nutzung bisher (nur bei Umbau/Erweiterung): </w:t>
      </w:r>
    </w:p>
    <w:p w14:paraId="1F24A4E6" w14:textId="77777777" w:rsidR="002511AA" w:rsidRPr="001238D3" w:rsidRDefault="002511AA" w:rsidP="002511AA">
      <w:pPr>
        <w:tabs>
          <w:tab w:val="left" w:pos="5040"/>
        </w:tabs>
        <w:rPr>
          <w:szCs w:val="20"/>
        </w:rPr>
      </w:pPr>
    </w:p>
    <w:p w14:paraId="5BD6BC55" w14:textId="77777777" w:rsidR="002511AA" w:rsidRPr="001238D3" w:rsidRDefault="002511AA" w:rsidP="002511AA">
      <w:pPr>
        <w:tabs>
          <w:tab w:val="left" w:pos="5040"/>
        </w:tabs>
        <w:rPr>
          <w:szCs w:val="20"/>
        </w:rPr>
      </w:pPr>
      <w:r w:rsidRPr="001238D3">
        <w:rPr>
          <w:szCs w:val="20"/>
        </w:rPr>
        <w:t>………………………………………………………………………………………………………...……..</w:t>
      </w:r>
    </w:p>
    <w:p w14:paraId="5803EC3C" w14:textId="77777777" w:rsidR="002511AA" w:rsidRPr="001238D3" w:rsidRDefault="002511AA" w:rsidP="002511AA">
      <w:pPr>
        <w:pBdr>
          <w:bottom w:val="single" w:sz="4" w:space="1" w:color="auto"/>
        </w:pBdr>
        <w:tabs>
          <w:tab w:val="left" w:pos="5040"/>
        </w:tabs>
        <w:rPr>
          <w:szCs w:val="20"/>
        </w:rPr>
      </w:pPr>
    </w:p>
    <w:p w14:paraId="298A8E18" w14:textId="77777777" w:rsidR="002511AA" w:rsidRPr="001238D3" w:rsidRDefault="002511AA" w:rsidP="002511AA">
      <w:pPr>
        <w:tabs>
          <w:tab w:val="left" w:pos="5040"/>
        </w:tabs>
        <w:rPr>
          <w:szCs w:val="20"/>
        </w:rPr>
      </w:pPr>
    </w:p>
    <w:p w14:paraId="4379EF75" w14:textId="77777777" w:rsidR="002511AA" w:rsidRPr="001238D3" w:rsidRDefault="002511AA" w:rsidP="002511AA">
      <w:pPr>
        <w:tabs>
          <w:tab w:val="left" w:pos="5040"/>
        </w:tabs>
        <w:rPr>
          <w:b/>
          <w:szCs w:val="20"/>
        </w:rPr>
      </w:pPr>
      <w:r w:rsidRPr="001238D3">
        <w:rPr>
          <w:b/>
          <w:szCs w:val="20"/>
        </w:rPr>
        <w:t xml:space="preserve">Nutzung der Wohnung nach Ausführung der beantragten Bauarbeiten </w:t>
      </w:r>
      <w:r w:rsidRPr="001238D3">
        <w:rPr>
          <w:szCs w:val="20"/>
        </w:rPr>
        <w:t>(zutreffendes ankreuzen)</w:t>
      </w:r>
    </w:p>
    <w:p w14:paraId="37E432F2" w14:textId="77777777" w:rsidR="002511AA" w:rsidRPr="001238D3" w:rsidRDefault="002511AA" w:rsidP="002511AA">
      <w:pPr>
        <w:tabs>
          <w:tab w:val="left" w:pos="5040"/>
        </w:tabs>
        <w:rPr>
          <w:szCs w:val="20"/>
        </w:rPr>
      </w:pPr>
    </w:p>
    <w:p w14:paraId="488346C7" w14:textId="77777777" w:rsidR="002511AA" w:rsidRPr="001238D3" w:rsidRDefault="002511AA" w:rsidP="002511AA">
      <w:pPr>
        <w:tabs>
          <w:tab w:val="left" w:pos="5040"/>
        </w:tabs>
        <w:spacing w:line="360" w:lineRule="auto"/>
        <w:rPr>
          <w:szCs w:val="20"/>
        </w:rPr>
      </w:pPr>
      <w:r w:rsidRPr="001238D3">
        <w:rPr>
          <w:szCs w:val="20"/>
        </w:rPr>
        <w:sym w:font="Wingdings" w:char="F072"/>
      </w:r>
      <w:r w:rsidRPr="001238D3">
        <w:rPr>
          <w:szCs w:val="20"/>
        </w:rPr>
        <w:t xml:space="preserve"> Erstwohnung (Art. 2 Abs. 2 und 3 ZWG)</w:t>
      </w:r>
    </w:p>
    <w:p w14:paraId="6F3F2A77" w14:textId="77777777" w:rsidR="002511AA" w:rsidRPr="00833DEB" w:rsidRDefault="002511AA" w:rsidP="002511AA">
      <w:pPr>
        <w:ind w:left="284"/>
        <w:rPr>
          <w:sz w:val="16"/>
          <w:szCs w:val="16"/>
        </w:rPr>
      </w:pPr>
      <w:r w:rsidRPr="00833DEB">
        <w:rPr>
          <w:sz w:val="16"/>
          <w:szCs w:val="16"/>
          <w:vertAlign w:val="superscript"/>
        </w:rPr>
        <w:t>2</w:t>
      </w:r>
      <w:r w:rsidRPr="00833DEB">
        <w:rPr>
          <w:sz w:val="16"/>
          <w:szCs w:val="16"/>
        </w:rPr>
        <w:t xml:space="preserve"> Eine Erstwohnung im Sinne dieses Gesetzes ist eine Wohnung, die von mindestens einer Person genutzt wird, die gemäss Artikel 3 Buchstabe b des Registerharmonisierungsgesetzes vom 23. Juni 2006 in der Gemeinde, in der die Wohnung liegt, niedergelassen ist.</w:t>
      </w:r>
    </w:p>
    <w:p w14:paraId="654CFFD4" w14:textId="77777777" w:rsidR="002511AA" w:rsidRPr="00833DEB" w:rsidRDefault="002511AA" w:rsidP="002511AA">
      <w:pPr>
        <w:ind w:left="284"/>
        <w:rPr>
          <w:sz w:val="16"/>
          <w:szCs w:val="16"/>
        </w:rPr>
      </w:pPr>
      <w:bookmarkStart w:id="1" w:name="3"/>
      <w:r w:rsidRPr="00833DEB">
        <w:rPr>
          <w:sz w:val="16"/>
          <w:szCs w:val="16"/>
          <w:vertAlign w:val="superscript"/>
        </w:rPr>
        <w:t>3</w:t>
      </w:r>
      <w:bookmarkEnd w:id="1"/>
      <w:r w:rsidRPr="00833DEB">
        <w:rPr>
          <w:sz w:val="16"/>
          <w:szCs w:val="16"/>
        </w:rPr>
        <w:t> Erstwohnungen gleichgestellt sind Wohnungen, die:</w:t>
      </w:r>
    </w:p>
    <w:p w14:paraId="55FF57BC" w14:textId="77777777" w:rsidR="002511AA" w:rsidRPr="00833DEB" w:rsidRDefault="002511AA" w:rsidP="002511AA">
      <w:pPr>
        <w:pStyle w:val="Listenabsatz"/>
        <w:numPr>
          <w:ilvl w:val="0"/>
          <w:numId w:val="1"/>
        </w:numPr>
        <w:ind w:left="709" w:hanging="283"/>
        <w:rPr>
          <w:sz w:val="16"/>
          <w:szCs w:val="16"/>
        </w:rPr>
      </w:pPr>
      <w:r w:rsidRPr="00833DEB">
        <w:rPr>
          <w:sz w:val="16"/>
          <w:szCs w:val="16"/>
        </w:rPr>
        <w:t>zu Erwerbs- oder Ausbildungszwecken dauernd bewohnt werden;</w:t>
      </w:r>
    </w:p>
    <w:p w14:paraId="3FD59A78" w14:textId="77777777" w:rsidR="002511AA" w:rsidRPr="00833DEB" w:rsidRDefault="002511AA" w:rsidP="002511AA">
      <w:pPr>
        <w:pStyle w:val="Listenabsatz"/>
        <w:numPr>
          <w:ilvl w:val="0"/>
          <w:numId w:val="1"/>
        </w:numPr>
        <w:ind w:left="709" w:hanging="283"/>
        <w:rPr>
          <w:sz w:val="16"/>
          <w:szCs w:val="16"/>
        </w:rPr>
      </w:pPr>
      <w:r w:rsidRPr="00833DEB">
        <w:rPr>
          <w:sz w:val="16"/>
          <w:szCs w:val="16"/>
        </w:rPr>
        <w:t>von einem Privathaushalt dauernd bewohnt werden, der im gleichen Gebäude eine andere Wohnung dauernd bewohnt;</w:t>
      </w:r>
    </w:p>
    <w:p w14:paraId="0093B8E7" w14:textId="77777777" w:rsidR="002511AA" w:rsidRPr="00833DEB" w:rsidRDefault="002511AA" w:rsidP="002511AA">
      <w:pPr>
        <w:pStyle w:val="Listenabsatz"/>
        <w:numPr>
          <w:ilvl w:val="0"/>
          <w:numId w:val="1"/>
        </w:numPr>
        <w:ind w:left="709" w:hanging="283"/>
        <w:rPr>
          <w:sz w:val="16"/>
          <w:szCs w:val="16"/>
        </w:rPr>
      </w:pPr>
      <w:r w:rsidRPr="00833DEB">
        <w:rPr>
          <w:sz w:val="16"/>
          <w:szCs w:val="16"/>
        </w:rPr>
        <w:t>von Personen dauernd bewohnt werden, die sich nicht beim Einwohneramt melden müssen, insbesondere von diplomatischem Personal und Asylsuchenden;</w:t>
      </w:r>
    </w:p>
    <w:p w14:paraId="3E291816" w14:textId="77777777" w:rsidR="002511AA" w:rsidRPr="00833DEB" w:rsidRDefault="002511AA" w:rsidP="002511AA">
      <w:pPr>
        <w:pStyle w:val="Listenabsatz"/>
        <w:numPr>
          <w:ilvl w:val="0"/>
          <w:numId w:val="1"/>
        </w:numPr>
        <w:ind w:left="709" w:hanging="283"/>
        <w:rPr>
          <w:sz w:val="16"/>
          <w:szCs w:val="16"/>
        </w:rPr>
      </w:pPr>
      <w:r w:rsidRPr="00833DEB">
        <w:rPr>
          <w:sz w:val="16"/>
          <w:szCs w:val="16"/>
        </w:rPr>
        <w:t>seit höchstens zwei Jahren leer stehen, bewohnbar sind und zur Dauermiete oder zum Kauf angeboten werden (Leerwohnungen);</w:t>
      </w:r>
    </w:p>
    <w:p w14:paraId="498DD73D" w14:textId="77777777" w:rsidR="002511AA" w:rsidRPr="00833DEB" w:rsidRDefault="002511AA" w:rsidP="002511AA">
      <w:pPr>
        <w:pStyle w:val="Listenabsatz"/>
        <w:numPr>
          <w:ilvl w:val="0"/>
          <w:numId w:val="1"/>
        </w:numPr>
        <w:ind w:left="709" w:hanging="283"/>
        <w:rPr>
          <w:sz w:val="16"/>
          <w:szCs w:val="16"/>
        </w:rPr>
      </w:pPr>
      <w:r w:rsidRPr="00833DEB">
        <w:rPr>
          <w:sz w:val="16"/>
          <w:szCs w:val="16"/>
        </w:rPr>
        <w:t>zu landwirtschaftlichen Zwecken genutzt werden und wegen der Höhenlage nicht ganzjährig für landwirtschaftliche Zwecke zugänglich sind;</w:t>
      </w:r>
    </w:p>
    <w:p w14:paraId="61871CE5" w14:textId="77777777" w:rsidR="002511AA" w:rsidRPr="00833DEB" w:rsidRDefault="002511AA" w:rsidP="002511AA">
      <w:pPr>
        <w:pStyle w:val="Listenabsatz"/>
        <w:numPr>
          <w:ilvl w:val="0"/>
          <w:numId w:val="1"/>
        </w:numPr>
        <w:ind w:left="709" w:hanging="283"/>
        <w:rPr>
          <w:sz w:val="16"/>
          <w:szCs w:val="16"/>
        </w:rPr>
      </w:pPr>
      <w:r w:rsidRPr="00833DEB">
        <w:rPr>
          <w:sz w:val="16"/>
          <w:szCs w:val="16"/>
        </w:rPr>
        <w:t>durch Unternehmen zur kurzzeitigen Unterbringung von Personal genutzt werden;</w:t>
      </w:r>
    </w:p>
    <w:p w14:paraId="176C5FF3" w14:textId="77777777" w:rsidR="002511AA" w:rsidRPr="00833DEB" w:rsidRDefault="002511AA" w:rsidP="002511AA">
      <w:pPr>
        <w:pStyle w:val="Listenabsatz"/>
        <w:numPr>
          <w:ilvl w:val="0"/>
          <w:numId w:val="1"/>
        </w:numPr>
        <w:ind w:left="709" w:hanging="283"/>
        <w:rPr>
          <w:sz w:val="16"/>
          <w:szCs w:val="16"/>
        </w:rPr>
      </w:pPr>
      <w:r w:rsidRPr="00833DEB">
        <w:rPr>
          <w:sz w:val="16"/>
          <w:szCs w:val="16"/>
        </w:rPr>
        <w:t>als Dienstwohnungen für Personen, die insbesondere im Gastgewerbe, in Spitälern und in Heimen tätig sind, genutzt werden;</w:t>
      </w:r>
    </w:p>
    <w:p w14:paraId="33A9B030" w14:textId="77777777" w:rsidR="002511AA" w:rsidRPr="00833DEB" w:rsidRDefault="002511AA" w:rsidP="002511AA">
      <w:pPr>
        <w:pStyle w:val="Listenabsatz"/>
        <w:numPr>
          <w:ilvl w:val="0"/>
          <w:numId w:val="1"/>
        </w:numPr>
        <w:ind w:left="709" w:hanging="283"/>
        <w:rPr>
          <w:sz w:val="16"/>
          <w:szCs w:val="16"/>
        </w:rPr>
      </w:pPr>
      <w:r w:rsidRPr="00833DEB">
        <w:rPr>
          <w:sz w:val="16"/>
          <w:szCs w:val="16"/>
        </w:rPr>
        <w:t>rechtmässig vorübergehend anders als zum Wohnen genutzt werden.</w:t>
      </w:r>
    </w:p>
    <w:p w14:paraId="0FD90326" w14:textId="77777777" w:rsidR="002511AA" w:rsidRDefault="002511AA" w:rsidP="002511AA">
      <w:pPr>
        <w:rPr>
          <w:sz w:val="22"/>
          <w:szCs w:val="22"/>
        </w:rPr>
      </w:pPr>
    </w:p>
    <w:p w14:paraId="135A76E3" w14:textId="77777777" w:rsidR="002511AA" w:rsidRPr="001238D3" w:rsidRDefault="002511AA" w:rsidP="002511AA">
      <w:pPr>
        <w:tabs>
          <w:tab w:val="left" w:pos="5040"/>
        </w:tabs>
        <w:spacing w:line="360" w:lineRule="auto"/>
        <w:rPr>
          <w:szCs w:val="20"/>
        </w:rPr>
      </w:pPr>
      <w:r w:rsidRPr="001238D3">
        <w:rPr>
          <w:szCs w:val="20"/>
        </w:rPr>
        <w:sym w:font="Wingdings" w:char="F072"/>
      </w:r>
      <w:r w:rsidRPr="001238D3">
        <w:rPr>
          <w:szCs w:val="20"/>
        </w:rPr>
        <w:t xml:space="preserve"> Touristisch bewirtschaftete Wohnung (Art. 7 Abs. 2 ZWG)</w:t>
      </w:r>
    </w:p>
    <w:p w14:paraId="108FB125" w14:textId="77777777" w:rsidR="002511AA" w:rsidRPr="00833DEB" w:rsidRDefault="002511AA" w:rsidP="002511AA">
      <w:pPr>
        <w:ind w:left="284"/>
        <w:rPr>
          <w:sz w:val="16"/>
          <w:szCs w:val="16"/>
        </w:rPr>
      </w:pPr>
      <w:r w:rsidRPr="00833DEB">
        <w:rPr>
          <w:sz w:val="16"/>
          <w:szCs w:val="16"/>
          <w:vertAlign w:val="superscript"/>
        </w:rPr>
        <w:t>2</w:t>
      </w:r>
      <w:r w:rsidRPr="00833DEB">
        <w:rPr>
          <w:sz w:val="16"/>
          <w:szCs w:val="16"/>
        </w:rPr>
        <w:t> Eine Wohnung gilt als touristisch bewirtschaftet, wenn sie dauerhaft zur ausschliesslich kurzzeitigen Nutzung durch Gäste zu markt- und ortsüblichen Bedingungen angeboten wird und  sie:</w:t>
      </w:r>
    </w:p>
    <w:p w14:paraId="738B8146" w14:textId="77777777" w:rsidR="002511AA" w:rsidRPr="00833DEB" w:rsidRDefault="002511AA" w:rsidP="002511AA">
      <w:pPr>
        <w:tabs>
          <w:tab w:val="left" w:pos="426"/>
        </w:tabs>
        <w:rPr>
          <w:sz w:val="16"/>
          <w:szCs w:val="16"/>
        </w:rPr>
      </w:pPr>
      <w:r w:rsidRPr="001238D3">
        <w:rPr>
          <w:szCs w:val="20"/>
        </w:rPr>
        <w:sym w:font="Wingdings" w:char="F072"/>
      </w:r>
      <w:r>
        <w:rPr>
          <w:szCs w:val="20"/>
        </w:rPr>
        <w:t xml:space="preserve"> </w:t>
      </w:r>
      <w:r>
        <w:rPr>
          <w:szCs w:val="20"/>
        </w:rPr>
        <w:tab/>
      </w:r>
      <w:r>
        <w:rPr>
          <w:sz w:val="16"/>
          <w:szCs w:val="16"/>
        </w:rPr>
        <w:t>a)</w:t>
      </w:r>
      <w:r>
        <w:rPr>
          <w:sz w:val="16"/>
          <w:szCs w:val="16"/>
        </w:rPr>
        <w:tab/>
      </w:r>
      <w:r w:rsidRPr="00833DEB">
        <w:rPr>
          <w:sz w:val="16"/>
          <w:szCs w:val="16"/>
        </w:rPr>
        <w:t xml:space="preserve">im selben Haus liegt, in dem der Eigentümer oder die Eigentümerin seinen beziehungsweise ihren Hauptwohnsitz hat </w:t>
      </w:r>
      <w:r>
        <w:rPr>
          <w:sz w:val="16"/>
          <w:szCs w:val="16"/>
        </w:rPr>
        <w:t xml:space="preserve"> </w:t>
      </w:r>
      <w:r>
        <w:rPr>
          <w:sz w:val="16"/>
          <w:szCs w:val="16"/>
        </w:rPr>
        <w:br/>
        <w:t xml:space="preserve">                </w:t>
      </w:r>
      <w:r w:rsidRPr="00833DEB">
        <w:rPr>
          <w:sz w:val="16"/>
          <w:szCs w:val="16"/>
        </w:rPr>
        <w:t>(Einliegerwohnung); oder</w:t>
      </w:r>
    </w:p>
    <w:p w14:paraId="49EB5A68" w14:textId="77777777" w:rsidR="002511AA" w:rsidRPr="00833DEB" w:rsidRDefault="002511AA" w:rsidP="002511AA">
      <w:pPr>
        <w:tabs>
          <w:tab w:val="left" w:pos="426"/>
          <w:tab w:val="left" w:pos="709"/>
        </w:tabs>
        <w:rPr>
          <w:sz w:val="16"/>
          <w:szCs w:val="16"/>
        </w:rPr>
      </w:pPr>
      <w:r w:rsidRPr="001238D3">
        <w:rPr>
          <w:szCs w:val="20"/>
        </w:rPr>
        <w:sym w:font="Wingdings" w:char="F072"/>
      </w:r>
      <w:r>
        <w:rPr>
          <w:szCs w:val="20"/>
        </w:rPr>
        <w:t xml:space="preserve"> </w:t>
      </w:r>
      <w:r>
        <w:rPr>
          <w:szCs w:val="20"/>
        </w:rPr>
        <w:tab/>
      </w:r>
      <w:r w:rsidRPr="00833DEB">
        <w:rPr>
          <w:sz w:val="16"/>
          <w:szCs w:val="16"/>
        </w:rPr>
        <w:t>b</w:t>
      </w:r>
      <w:r>
        <w:rPr>
          <w:sz w:val="16"/>
          <w:szCs w:val="16"/>
        </w:rPr>
        <w:t>)</w:t>
      </w:r>
      <w:r>
        <w:rPr>
          <w:sz w:val="16"/>
          <w:szCs w:val="16"/>
        </w:rPr>
        <w:tab/>
      </w:r>
      <w:r w:rsidRPr="00833DEB">
        <w:rPr>
          <w:sz w:val="16"/>
          <w:szCs w:val="16"/>
        </w:rPr>
        <w:t xml:space="preserve">nicht auf die persönlichen Bedürfnisse des Eigentümers oder der Eigentümerin zugeschnitten ist und im Rahmen eines </w:t>
      </w:r>
      <w:r>
        <w:rPr>
          <w:sz w:val="16"/>
          <w:szCs w:val="16"/>
        </w:rPr>
        <w:br/>
        <w:t xml:space="preserve">                </w:t>
      </w:r>
      <w:r w:rsidRPr="00833DEB">
        <w:rPr>
          <w:sz w:val="16"/>
          <w:szCs w:val="16"/>
        </w:rPr>
        <w:t>strukturierten Beherbergungsbetriebs bewirtschaftet wird.</w:t>
      </w:r>
    </w:p>
    <w:p w14:paraId="64F82AE9" w14:textId="77777777" w:rsidR="002511AA" w:rsidRDefault="002511AA" w:rsidP="002511AA">
      <w:pPr>
        <w:pBdr>
          <w:bottom w:val="single" w:sz="4" w:space="1" w:color="auto"/>
        </w:pBdr>
        <w:rPr>
          <w:sz w:val="22"/>
          <w:szCs w:val="22"/>
        </w:rPr>
      </w:pPr>
    </w:p>
    <w:p w14:paraId="1F931266" w14:textId="77777777" w:rsidR="002511AA" w:rsidRDefault="002511AA" w:rsidP="002511AA">
      <w:pPr>
        <w:rPr>
          <w:sz w:val="22"/>
          <w:szCs w:val="22"/>
        </w:rPr>
      </w:pPr>
    </w:p>
    <w:p w14:paraId="6835A027" w14:textId="77777777" w:rsidR="002511AA" w:rsidRDefault="002511AA" w:rsidP="002511AA">
      <w:pPr>
        <w:rPr>
          <w:szCs w:val="20"/>
        </w:rPr>
      </w:pPr>
      <w:r w:rsidRPr="001238D3">
        <w:rPr>
          <w:szCs w:val="20"/>
        </w:rPr>
        <w:t>Die Bauherrschaft bestätigt hiermit die Richtigkeit der gemachten Angaben. Ebenfalls bestätigt sie, die nachstehenden Auszüge aus dem Bundesgesetz über Zweitwohnungen vom 20. März 201</w:t>
      </w:r>
      <w:r>
        <w:rPr>
          <w:szCs w:val="20"/>
        </w:rPr>
        <w:t>5</w:t>
      </w:r>
      <w:r w:rsidRPr="001238D3">
        <w:rPr>
          <w:szCs w:val="20"/>
        </w:rPr>
        <w:t xml:space="preserve"> und der Verordnung über Zweitwohnungen vom 22. August 2012 zur Kenntnis genommen zu haben. </w:t>
      </w:r>
    </w:p>
    <w:p w14:paraId="6C4DF4D9" w14:textId="77777777" w:rsidR="002511AA" w:rsidRDefault="002511AA" w:rsidP="002511AA">
      <w:pPr>
        <w:rPr>
          <w:szCs w:val="20"/>
        </w:rPr>
      </w:pPr>
    </w:p>
    <w:p w14:paraId="05B70C44" w14:textId="77777777" w:rsidR="002511AA" w:rsidRPr="00B74ACD" w:rsidRDefault="002511AA" w:rsidP="002511AA">
      <w:pPr>
        <w:tabs>
          <w:tab w:val="left" w:pos="4820"/>
        </w:tabs>
        <w:rPr>
          <w:rFonts w:eastAsia="Calibri"/>
          <w:sz w:val="24"/>
          <w:lang w:eastAsia="en-US"/>
        </w:rPr>
      </w:pPr>
      <w:r w:rsidRPr="00B74ACD">
        <w:rPr>
          <w:rFonts w:eastAsia="Calibri"/>
          <w:sz w:val="24"/>
          <w:lang w:eastAsia="en-US"/>
        </w:rPr>
        <w:t>.....................................................</w:t>
      </w:r>
      <w:r w:rsidRPr="00B74ACD">
        <w:rPr>
          <w:rFonts w:eastAsia="Calibri"/>
          <w:sz w:val="24"/>
          <w:lang w:eastAsia="en-US"/>
        </w:rPr>
        <w:tab/>
        <w:t>...........................................................</w:t>
      </w:r>
    </w:p>
    <w:p w14:paraId="5A5E41AD" w14:textId="77777777" w:rsidR="002511AA" w:rsidRDefault="002511AA" w:rsidP="002511AA">
      <w:pPr>
        <w:tabs>
          <w:tab w:val="left" w:pos="4820"/>
        </w:tabs>
        <w:spacing w:after="160" w:line="256" w:lineRule="auto"/>
        <w:rPr>
          <w:b/>
          <w:szCs w:val="20"/>
        </w:rPr>
      </w:pPr>
      <w:r w:rsidRPr="00B74ACD">
        <w:rPr>
          <w:rFonts w:eastAsia="Calibri"/>
          <w:sz w:val="18"/>
          <w:lang w:eastAsia="en-US"/>
        </w:rPr>
        <w:t>(Ort, Datum)</w:t>
      </w:r>
      <w:r w:rsidRPr="00B74ACD">
        <w:rPr>
          <w:rFonts w:eastAsia="Calibri"/>
          <w:sz w:val="18"/>
          <w:lang w:eastAsia="en-US"/>
        </w:rPr>
        <w:tab/>
        <w:t>(Unterschrift</w:t>
      </w:r>
      <w:r>
        <w:rPr>
          <w:rFonts w:eastAsia="Calibri"/>
          <w:sz w:val="18"/>
          <w:lang w:eastAsia="en-US"/>
        </w:rPr>
        <w:t xml:space="preserve"> Bauherrschaft</w:t>
      </w:r>
      <w:r w:rsidRPr="00B74ACD">
        <w:rPr>
          <w:rFonts w:eastAsia="Calibri"/>
          <w:sz w:val="18"/>
          <w:lang w:eastAsia="en-US"/>
        </w:rPr>
        <w:t>)</w:t>
      </w:r>
      <w:r>
        <w:rPr>
          <w:b/>
          <w:szCs w:val="20"/>
        </w:rPr>
        <w:br w:type="page"/>
      </w:r>
    </w:p>
    <w:p w14:paraId="6D0A73CB" w14:textId="77777777" w:rsidR="002511AA" w:rsidRPr="00A27727" w:rsidRDefault="002511AA" w:rsidP="002511AA">
      <w:pPr>
        <w:tabs>
          <w:tab w:val="left" w:pos="5040"/>
        </w:tabs>
        <w:rPr>
          <w:b/>
          <w:smallCaps/>
          <w:sz w:val="28"/>
          <w:szCs w:val="28"/>
        </w:rPr>
      </w:pPr>
      <w:r w:rsidRPr="00A27727">
        <w:rPr>
          <w:b/>
          <w:smallCaps/>
          <w:sz w:val="28"/>
          <w:szCs w:val="28"/>
        </w:rPr>
        <w:lastRenderedPageBreak/>
        <w:t>Auszug Bundesgesetz über Zweitwohnung</w:t>
      </w:r>
      <w:r>
        <w:rPr>
          <w:b/>
          <w:smallCaps/>
          <w:sz w:val="28"/>
          <w:szCs w:val="28"/>
        </w:rPr>
        <w:t>en</w:t>
      </w:r>
      <w:r w:rsidRPr="00A27727">
        <w:rPr>
          <w:b/>
          <w:smallCaps/>
          <w:sz w:val="28"/>
          <w:szCs w:val="28"/>
        </w:rPr>
        <w:t xml:space="preserve"> vom 20. März 2015 (ZWG)</w:t>
      </w:r>
    </w:p>
    <w:p w14:paraId="45092CCE" w14:textId="77777777" w:rsidR="002511AA" w:rsidRDefault="002511AA" w:rsidP="002511AA">
      <w:pPr>
        <w:rPr>
          <w:b/>
          <w:szCs w:val="20"/>
        </w:rPr>
      </w:pPr>
    </w:p>
    <w:p w14:paraId="0C08B0A2" w14:textId="77777777" w:rsidR="002511AA" w:rsidRPr="0013387E" w:rsidRDefault="002511AA" w:rsidP="002511AA">
      <w:pPr>
        <w:spacing w:line="360" w:lineRule="auto"/>
        <w:rPr>
          <w:sz w:val="22"/>
          <w:szCs w:val="22"/>
        </w:rPr>
      </w:pPr>
      <w:r w:rsidRPr="00603D5D">
        <w:rPr>
          <w:b/>
          <w:szCs w:val="20"/>
        </w:rPr>
        <w:t>Verbot neuer Zweitwohnungen</w:t>
      </w:r>
    </w:p>
    <w:p w14:paraId="446CE981" w14:textId="77777777" w:rsidR="002511AA" w:rsidRPr="00A27727" w:rsidRDefault="00501E8D" w:rsidP="002511AA">
      <w:pPr>
        <w:pStyle w:val="berschrift5"/>
        <w:shd w:val="clear" w:color="auto" w:fill="FFFFFF"/>
        <w:spacing w:before="0" w:after="40"/>
        <w:rPr>
          <w:rFonts w:ascii="Arial" w:eastAsia="Times New Roman" w:hAnsi="Arial" w:cs="Arial"/>
          <w:i/>
          <w:color w:val="auto"/>
          <w:szCs w:val="20"/>
        </w:rPr>
      </w:pPr>
      <w:hyperlink r:id="rId7" w:anchor="a6" w:history="1">
        <w:r w:rsidR="002511AA" w:rsidRPr="00A27727">
          <w:rPr>
            <w:rFonts w:ascii="Arial" w:eastAsia="Times New Roman" w:hAnsi="Arial" w:cs="Arial"/>
            <w:i/>
            <w:color w:val="auto"/>
            <w:szCs w:val="20"/>
          </w:rPr>
          <w:t>Art. 6</w:t>
        </w:r>
      </w:hyperlink>
      <w:r w:rsidR="002511AA" w:rsidRPr="00A27727">
        <w:rPr>
          <w:rFonts w:ascii="Arial" w:eastAsia="Times New Roman" w:hAnsi="Arial" w:cs="Arial"/>
          <w:i/>
          <w:color w:val="auto"/>
          <w:szCs w:val="20"/>
        </w:rPr>
        <w:t xml:space="preserve"> </w:t>
      </w:r>
    </w:p>
    <w:p w14:paraId="2146CB9D" w14:textId="77777777" w:rsidR="002511AA" w:rsidRPr="00603D5D" w:rsidRDefault="002511AA" w:rsidP="002511AA">
      <w:pPr>
        <w:pStyle w:val="StandardWeb"/>
        <w:shd w:val="clear" w:color="auto" w:fill="FFFFFF"/>
        <w:spacing w:before="0" w:beforeAutospacing="0" w:after="165" w:afterAutospacing="0"/>
        <w:rPr>
          <w:szCs w:val="20"/>
          <w:lang w:val="de-CH"/>
        </w:rPr>
      </w:pPr>
      <w:bookmarkStart w:id="2" w:name="1"/>
      <w:r w:rsidRPr="00603D5D">
        <w:rPr>
          <w:szCs w:val="20"/>
          <w:vertAlign w:val="superscript"/>
          <w:lang w:val="de-CH"/>
        </w:rPr>
        <w:t>1</w:t>
      </w:r>
      <w:bookmarkEnd w:id="2"/>
      <w:r w:rsidRPr="00603D5D">
        <w:rPr>
          <w:szCs w:val="20"/>
          <w:lang w:val="de-CH"/>
        </w:rPr>
        <w:t> In Gemeinden, in denen der nach Artikel 5 festgestellte Zweitwohnungsanteil über 20 Prozent liegt, dürfen keine neuen Zweitwohnungen bewilligt werden. Liegt dieser Anteil unter 20 Prozent und hätte die Erteilung einer Baubewilligung zur Folge, dass die Gemeinde den Zweitwohnungsanteil von 20 Prozent überschreiten würde, so darf die Bewilligung nicht erteilt werden.</w:t>
      </w:r>
    </w:p>
    <w:p w14:paraId="33FE0008" w14:textId="77777777" w:rsidR="002511AA" w:rsidRPr="00603D5D" w:rsidRDefault="002511AA" w:rsidP="002511AA">
      <w:pPr>
        <w:pStyle w:val="StandardWeb"/>
        <w:shd w:val="clear" w:color="auto" w:fill="FFFFFF"/>
        <w:spacing w:before="0" w:beforeAutospacing="0" w:after="165" w:afterAutospacing="0"/>
        <w:rPr>
          <w:szCs w:val="20"/>
          <w:lang w:val="de-CH"/>
        </w:rPr>
      </w:pPr>
      <w:r w:rsidRPr="00603D5D">
        <w:rPr>
          <w:szCs w:val="20"/>
          <w:vertAlign w:val="superscript"/>
          <w:lang w:val="de-CH"/>
        </w:rPr>
        <w:t>2</w:t>
      </w:r>
      <w:r w:rsidRPr="00603D5D">
        <w:rPr>
          <w:szCs w:val="20"/>
          <w:lang w:val="de-CH"/>
        </w:rPr>
        <w:t> Vorbehalten bleibt die Erstellung neuer Wohnungen nach Artikel 7 Absatz 1 Buchstabe b und nach Artikel 8, 9, 26 oder 27.</w:t>
      </w:r>
    </w:p>
    <w:p w14:paraId="3253FD03" w14:textId="77777777" w:rsidR="002511AA" w:rsidRPr="00A27727" w:rsidRDefault="002511AA" w:rsidP="002511AA">
      <w:pPr>
        <w:tabs>
          <w:tab w:val="left" w:pos="284"/>
        </w:tabs>
        <w:rPr>
          <w:szCs w:val="20"/>
        </w:rPr>
      </w:pPr>
    </w:p>
    <w:p w14:paraId="5B1E2837" w14:textId="77777777" w:rsidR="002511AA" w:rsidRDefault="002511AA" w:rsidP="002511AA">
      <w:pPr>
        <w:tabs>
          <w:tab w:val="left" w:pos="284"/>
        </w:tabs>
        <w:spacing w:line="360" w:lineRule="auto"/>
        <w:rPr>
          <w:sz w:val="22"/>
          <w:szCs w:val="22"/>
        </w:rPr>
      </w:pPr>
      <w:r>
        <w:rPr>
          <w:b/>
          <w:szCs w:val="20"/>
        </w:rPr>
        <w:t>Neue Wohnungen mit Nutzungsbeschränkung</w:t>
      </w:r>
    </w:p>
    <w:p w14:paraId="2EF9B4CD" w14:textId="77777777" w:rsidR="002511AA" w:rsidRPr="00A27727" w:rsidRDefault="00501E8D" w:rsidP="002511AA">
      <w:pPr>
        <w:pStyle w:val="berschrift5"/>
        <w:shd w:val="clear" w:color="auto" w:fill="FFFFFF"/>
        <w:spacing w:before="0" w:after="40"/>
        <w:rPr>
          <w:rFonts w:ascii="Arial" w:eastAsia="Times New Roman" w:hAnsi="Arial" w:cs="Arial"/>
          <w:i/>
          <w:color w:val="auto"/>
          <w:szCs w:val="20"/>
        </w:rPr>
      </w:pPr>
      <w:hyperlink r:id="rId8" w:anchor="a7" w:history="1">
        <w:r w:rsidR="002511AA" w:rsidRPr="00A27727">
          <w:rPr>
            <w:rFonts w:ascii="Arial" w:eastAsia="Times New Roman" w:hAnsi="Arial" w:cs="Arial"/>
            <w:i/>
            <w:color w:val="auto"/>
            <w:szCs w:val="20"/>
          </w:rPr>
          <w:t>Art. 7</w:t>
        </w:r>
      </w:hyperlink>
      <w:r w:rsidR="002511AA" w:rsidRPr="00A27727">
        <w:rPr>
          <w:rFonts w:ascii="Arial" w:eastAsia="Times New Roman" w:hAnsi="Arial" w:cs="Arial"/>
          <w:i/>
          <w:color w:val="auto"/>
          <w:szCs w:val="20"/>
        </w:rPr>
        <w:t xml:space="preserve"> </w:t>
      </w:r>
    </w:p>
    <w:p w14:paraId="3C99E8C0" w14:textId="77777777" w:rsidR="002511AA" w:rsidRPr="00603D5D" w:rsidRDefault="002511AA" w:rsidP="002511AA">
      <w:pPr>
        <w:pStyle w:val="StandardWeb"/>
        <w:shd w:val="clear" w:color="auto" w:fill="FFFFFF"/>
        <w:spacing w:before="0" w:beforeAutospacing="0" w:after="165" w:afterAutospacing="0"/>
        <w:rPr>
          <w:szCs w:val="20"/>
          <w:lang w:val="de-CH"/>
        </w:rPr>
      </w:pPr>
      <w:r w:rsidRPr="00603D5D">
        <w:rPr>
          <w:szCs w:val="20"/>
          <w:vertAlign w:val="superscript"/>
          <w:lang w:val="de-CH"/>
        </w:rPr>
        <w:t>1 </w:t>
      </w:r>
      <w:r w:rsidRPr="00603D5D">
        <w:rPr>
          <w:szCs w:val="20"/>
          <w:lang w:val="de-CH"/>
        </w:rPr>
        <w:t>In Gemeinden mit einem Zweitwohnungsanteil von über 20 Prozent dürfen neue Wohnungen nur bewilligt werden, wenn sie wie folgt genutzt werden:</w:t>
      </w:r>
    </w:p>
    <w:p w14:paraId="7782E424" w14:textId="77777777" w:rsidR="002511AA" w:rsidRPr="00EF6279" w:rsidRDefault="002511AA" w:rsidP="002511AA">
      <w:pPr>
        <w:pStyle w:val="Listenabsatz"/>
        <w:numPr>
          <w:ilvl w:val="0"/>
          <w:numId w:val="2"/>
        </w:numPr>
        <w:shd w:val="clear" w:color="auto" w:fill="FFFFFF"/>
        <w:rPr>
          <w:szCs w:val="20"/>
        </w:rPr>
      </w:pPr>
      <w:r w:rsidRPr="00EF6279">
        <w:rPr>
          <w:szCs w:val="20"/>
        </w:rPr>
        <w:t>als Erstwohnung oder als Wohnung, die nach Artikel 2 Absatz 3 einer Erstwohnung gleichgestellt ist; oder</w:t>
      </w:r>
    </w:p>
    <w:p w14:paraId="73772379" w14:textId="77777777" w:rsidR="002511AA" w:rsidRPr="00EF6279" w:rsidRDefault="002511AA" w:rsidP="002511AA">
      <w:pPr>
        <w:pStyle w:val="Listenabsatz"/>
        <w:numPr>
          <w:ilvl w:val="0"/>
          <w:numId w:val="2"/>
        </w:numPr>
        <w:shd w:val="clear" w:color="auto" w:fill="FFFFFF"/>
        <w:spacing w:after="165"/>
        <w:rPr>
          <w:szCs w:val="20"/>
        </w:rPr>
      </w:pPr>
      <w:r w:rsidRPr="00EF6279">
        <w:rPr>
          <w:szCs w:val="20"/>
        </w:rPr>
        <w:t>als touristisch bewirtschaftete Wohnung.</w:t>
      </w:r>
    </w:p>
    <w:p w14:paraId="3C98D676" w14:textId="77777777" w:rsidR="002511AA" w:rsidRPr="00603D5D" w:rsidRDefault="002511AA" w:rsidP="002511AA">
      <w:pPr>
        <w:pStyle w:val="StandardWeb"/>
        <w:shd w:val="clear" w:color="auto" w:fill="FFFFFF"/>
        <w:spacing w:before="0" w:beforeAutospacing="0" w:after="165" w:afterAutospacing="0"/>
        <w:rPr>
          <w:szCs w:val="20"/>
          <w:lang w:val="de-CH"/>
        </w:rPr>
      </w:pPr>
      <w:r w:rsidRPr="00603D5D">
        <w:rPr>
          <w:szCs w:val="20"/>
          <w:vertAlign w:val="superscript"/>
          <w:lang w:val="de-CH"/>
        </w:rPr>
        <w:t>2</w:t>
      </w:r>
      <w:r w:rsidRPr="00603D5D">
        <w:rPr>
          <w:szCs w:val="20"/>
          <w:lang w:val="de-CH"/>
        </w:rPr>
        <w:t> Eine Wohnung gilt als touristisch bewirtschaftet, wenn sie dauerhaft zur ausschliesslich kurzzeitigen Nutzung durch Gäste zu markt- und ortsüblichen Bedingungen angeboten wird und sie:</w:t>
      </w:r>
    </w:p>
    <w:p w14:paraId="4E68504C" w14:textId="77777777" w:rsidR="002511AA" w:rsidRPr="00603D5D" w:rsidRDefault="002511AA" w:rsidP="002511AA">
      <w:pPr>
        <w:pStyle w:val="Listenabsatz"/>
        <w:numPr>
          <w:ilvl w:val="0"/>
          <w:numId w:val="3"/>
        </w:numPr>
        <w:shd w:val="clear" w:color="auto" w:fill="FFFFFF"/>
        <w:rPr>
          <w:szCs w:val="20"/>
        </w:rPr>
      </w:pPr>
      <w:r w:rsidRPr="00603D5D">
        <w:rPr>
          <w:szCs w:val="20"/>
        </w:rPr>
        <w:t>im selben Haus liegt, in dem der Eigentümer oder die Eigentümerin seinen beziehungsweise ihren Hauptwohnsitz hat (Einliegerwohnung); oder</w:t>
      </w:r>
    </w:p>
    <w:p w14:paraId="12DD4EE0" w14:textId="77777777" w:rsidR="002511AA" w:rsidRPr="00603D5D" w:rsidRDefault="002511AA" w:rsidP="002511AA">
      <w:pPr>
        <w:pStyle w:val="Listenabsatz"/>
        <w:numPr>
          <w:ilvl w:val="0"/>
          <w:numId w:val="3"/>
        </w:numPr>
        <w:shd w:val="clear" w:color="auto" w:fill="FFFFFF"/>
        <w:rPr>
          <w:szCs w:val="20"/>
        </w:rPr>
      </w:pPr>
      <w:r w:rsidRPr="00603D5D">
        <w:rPr>
          <w:szCs w:val="20"/>
        </w:rPr>
        <w:t>nicht auf die persönlichen Bedürfnisse des Eigentümers oder der Eigentümerin zugeschnitten ist und im Rahmen eines strukturierten Beherbergungsbetriebs bewirtschaftet wird.</w:t>
      </w:r>
    </w:p>
    <w:p w14:paraId="4F27A3FE" w14:textId="77777777" w:rsidR="002511AA" w:rsidRPr="00603D5D" w:rsidRDefault="002511AA" w:rsidP="002511AA">
      <w:pPr>
        <w:pStyle w:val="StandardWeb"/>
        <w:shd w:val="clear" w:color="auto" w:fill="FFFFFF"/>
        <w:spacing w:before="0" w:beforeAutospacing="0" w:after="165" w:afterAutospacing="0"/>
        <w:rPr>
          <w:szCs w:val="20"/>
          <w:lang w:val="de-CH"/>
        </w:rPr>
      </w:pPr>
      <w:r w:rsidRPr="00603D5D">
        <w:rPr>
          <w:szCs w:val="20"/>
          <w:vertAlign w:val="superscript"/>
          <w:lang w:val="de-CH"/>
        </w:rPr>
        <w:t>3</w:t>
      </w:r>
      <w:r w:rsidRPr="00603D5D">
        <w:rPr>
          <w:szCs w:val="20"/>
          <w:lang w:val="de-CH"/>
        </w:rPr>
        <w:t> Die für die Baubewilligungen zuständige Behörde ordnet in der Baubewilligung mittels Nutzungsauflage die Nutzungsbeschränkung nach Absatz 1 Buchstabe a oder Absatz 2 Buchstabe a oder b an. Enthält die Baubewilligung für eine neue Wohnung keine solche Anordnung und liegt auch keine Bewilligung nach Artikel 8, 9, 26 oder 27 vor, so wird vermutet, dass die Nutzungsbeschränkung nach Absatz 1 Buchstabe a gilt.</w:t>
      </w:r>
    </w:p>
    <w:p w14:paraId="3ECB1F17" w14:textId="77777777" w:rsidR="002511AA" w:rsidRDefault="002511AA" w:rsidP="002511AA">
      <w:pPr>
        <w:pStyle w:val="StandardWeb"/>
        <w:shd w:val="clear" w:color="auto" w:fill="FFFFFF"/>
        <w:spacing w:before="0" w:beforeAutospacing="0" w:after="165" w:afterAutospacing="0"/>
        <w:rPr>
          <w:szCs w:val="20"/>
          <w:lang w:val="de-CH"/>
        </w:rPr>
      </w:pPr>
      <w:bookmarkStart w:id="3" w:name="4"/>
      <w:r w:rsidRPr="00603D5D">
        <w:rPr>
          <w:szCs w:val="20"/>
          <w:vertAlign w:val="superscript"/>
          <w:lang w:val="de-CH"/>
        </w:rPr>
        <w:t>4</w:t>
      </w:r>
      <w:bookmarkEnd w:id="3"/>
      <w:r w:rsidRPr="00603D5D">
        <w:rPr>
          <w:szCs w:val="20"/>
          <w:vertAlign w:val="superscript"/>
          <w:lang w:val="de-CH"/>
        </w:rPr>
        <w:t> </w:t>
      </w:r>
      <w:r w:rsidRPr="00603D5D">
        <w:rPr>
          <w:szCs w:val="20"/>
          <w:lang w:val="de-CH"/>
        </w:rPr>
        <w:t>Unmittelbar nach Rechtskraft der Baubewilligung weist die Baubewilligungsbehörde das Grundbuchamt an, die Nutzungsbeschränkung zum betreffenden Grundstück im Grundbuch anzumerken.</w:t>
      </w:r>
    </w:p>
    <w:p w14:paraId="11748AB4" w14:textId="77777777" w:rsidR="002511AA" w:rsidRPr="00603D5D" w:rsidRDefault="002511AA" w:rsidP="002511AA">
      <w:pPr>
        <w:spacing w:after="165"/>
      </w:pPr>
      <w:r>
        <w:t>(…)</w:t>
      </w:r>
    </w:p>
    <w:p w14:paraId="3EF9CA99" w14:textId="77777777" w:rsidR="002511AA" w:rsidRPr="00A27727" w:rsidRDefault="002511AA" w:rsidP="002511AA">
      <w:pPr>
        <w:tabs>
          <w:tab w:val="left" w:pos="284"/>
        </w:tabs>
        <w:rPr>
          <w:szCs w:val="20"/>
          <w:lang w:val="de-DE"/>
        </w:rPr>
      </w:pPr>
    </w:p>
    <w:p w14:paraId="0FDE13B2" w14:textId="77777777" w:rsidR="002511AA" w:rsidRPr="00A27727" w:rsidRDefault="002511AA" w:rsidP="002511AA">
      <w:pPr>
        <w:tabs>
          <w:tab w:val="left" w:pos="284"/>
        </w:tabs>
        <w:spacing w:line="360" w:lineRule="auto"/>
        <w:rPr>
          <w:b/>
          <w:szCs w:val="20"/>
        </w:rPr>
      </w:pPr>
      <w:r w:rsidRPr="00A27727">
        <w:rPr>
          <w:b/>
          <w:szCs w:val="20"/>
        </w:rPr>
        <w:t>Altrechtliche Wohnungen</w:t>
      </w:r>
    </w:p>
    <w:p w14:paraId="55A64B69"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sidRPr="00A27727">
        <w:rPr>
          <w:rFonts w:ascii="Arial" w:eastAsia="Times New Roman" w:hAnsi="Arial" w:cs="Arial"/>
          <w:i/>
          <w:color w:val="auto"/>
          <w:szCs w:val="20"/>
        </w:rPr>
        <w:t>Art. 10 Begriff</w:t>
      </w:r>
    </w:p>
    <w:p w14:paraId="67A7DA60" w14:textId="77777777" w:rsidR="002511AA" w:rsidRPr="00A27727" w:rsidRDefault="002511AA" w:rsidP="002511AA">
      <w:pPr>
        <w:spacing w:after="165"/>
        <w:rPr>
          <w:szCs w:val="20"/>
        </w:rPr>
      </w:pPr>
      <w:r w:rsidRPr="00A27727">
        <w:rPr>
          <w:szCs w:val="20"/>
        </w:rPr>
        <w:t>Eine altrechtliche Wohnung im Sinne dieses Gesetzes ist eine Wohnung, die am 11. März 2012 rechtmässig bestand oder rechtskräftig bewilligt war.</w:t>
      </w:r>
    </w:p>
    <w:p w14:paraId="2D718FE9" w14:textId="77777777" w:rsidR="002511AA" w:rsidRDefault="002511AA" w:rsidP="002511AA"/>
    <w:p w14:paraId="78AA9ADC"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sidRPr="00A27727">
        <w:rPr>
          <w:rFonts w:ascii="Arial" w:eastAsia="Times New Roman" w:hAnsi="Arial" w:cs="Arial"/>
          <w:i/>
          <w:color w:val="auto"/>
          <w:szCs w:val="20"/>
        </w:rPr>
        <w:t>Art. 11 Bauliche und nutzungsmässige Änderungen</w:t>
      </w:r>
    </w:p>
    <w:p w14:paraId="4403D31F" w14:textId="77777777" w:rsidR="002511AA" w:rsidRPr="00A27727" w:rsidRDefault="002511AA" w:rsidP="002511AA">
      <w:pPr>
        <w:spacing w:after="165"/>
        <w:rPr>
          <w:szCs w:val="20"/>
        </w:rPr>
      </w:pPr>
      <w:r w:rsidRPr="00A27727">
        <w:rPr>
          <w:szCs w:val="20"/>
          <w:vertAlign w:val="superscript"/>
        </w:rPr>
        <w:t>1 </w:t>
      </w:r>
      <w:r w:rsidRPr="00A27727">
        <w:rPr>
          <w:szCs w:val="20"/>
        </w:rPr>
        <w:t>Altrechtliche Wohnungen sind unter Vorbehalt bestehender oder künftiger Nutzungsbeschränkungen des kantonalen oder kommunalen Rechts in der Art der Wohnnutzung frei.</w:t>
      </w:r>
    </w:p>
    <w:p w14:paraId="61C72700" w14:textId="77777777" w:rsidR="002511AA" w:rsidRPr="00A27727" w:rsidRDefault="002511AA" w:rsidP="002511AA">
      <w:pPr>
        <w:spacing w:after="165"/>
        <w:rPr>
          <w:szCs w:val="20"/>
        </w:rPr>
      </w:pPr>
      <w:r w:rsidRPr="00A27727">
        <w:rPr>
          <w:szCs w:val="20"/>
          <w:vertAlign w:val="superscript"/>
        </w:rPr>
        <w:t>2</w:t>
      </w:r>
      <w:r w:rsidRPr="00A27727">
        <w:rPr>
          <w:szCs w:val="20"/>
        </w:rPr>
        <w:t> Solche Wohnungen dürfen im Rahmen der vorbestandenen Hauptnutzfläche erneuert, umgebaut und wieder aufgebaut werden. Werden in diesem Rahmen zusätzliche Wohnungen geschaffen, so können diese bewilligt werden, ohne dass eine Nutzungsbeschränkung nach Artikel 7 Absatz 1 auferlegt werden muss. Die übrigen Voraussetzungen des Bundesrechts und des kantonalen Rechts bleiben vorbehalten.</w:t>
      </w:r>
    </w:p>
    <w:p w14:paraId="30300391" w14:textId="77777777" w:rsidR="002511AA" w:rsidRPr="00A27727" w:rsidRDefault="002511AA" w:rsidP="002511AA">
      <w:pPr>
        <w:spacing w:after="165"/>
        <w:rPr>
          <w:szCs w:val="20"/>
        </w:rPr>
      </w:pPr>
      <w:r w:rsidRPr="00A27727">
        <w:rPr>
          <w:szCs w:val="20"/>
          <w:vertAlign w:val="superscript"/>
        </w:rPr>
        <w:t>3 </w:t>
      </w:r>
      <w:r w:rsidRPr="00A27727">
        <w:rPr>
          <w:szCs w:val="20"/>
        </w:rPr>
        <w:t xml:space="preserve">Altrechtliche Wohnungen dürfen innerhalb der Bauzonen um maximal 30 Prozent der am 11. März 2012 vorbestehenden Hauptnutzfläche erweitert werden, sofern keine zusätzlichen Wohnungen geschaffen </w:t>
      </w:r>
      <w:r w:rsidRPr="00A27727">
        <w:rPr>
          <w:szCs w:val="20"/>
        </w:rPr>
        <w:lastRenderedPageBreak/>
        <w:t>werden. Ausserhalb der Bauzonen bleiben Erweiterungen im Rahmen der Vorschriften über das Bauen ausserhalb der Bauzonen zulässig.</w:t>
      </w:r>
    </w:p>
    <w:p w14:paraId="3D059FFA" w14:textId="77777777" w:rsidR="002511AA" w:rsidRPr="00A27727" w:rsidRDefault="002511AA" w:rsidP="002511AA">
      <w:pPr>
        <w:spacing w:after="165"/>
        <w:rPr>
          <w:szCs w:val="20"/>
        </w:rPr>
      </w:pPr>
      <w:r w:rsidRPr="00A27727">
        <w:rPr>
          <w:szCs w:val="20"/>
          <w:vertAlign w:val="superscript"/>
        </w:rPr>
        <w:t>4 </w:t>
      </w:r>
      <w:r w:rsidRPr="00A27727">
        <w:rPr>
          <w:szCs w:val="20"/>
        </w:rPr>
        <w:t>Übersteigen Erweiterungen das Mass nach Absatz 3, so sind sie zulässig, wenn die Wohnung als Erstwohnung im Sinne von Artikel 7 Absatz 1 Buchstabe a oder als touristisch bewirtschaftete Wohnung im Sinne von Artikel 7 Absatz 1 Buchstabe b in Verbindung mit Artikel 7 Absatz 2 Buchstabe a oder b deklariert wird und die entsprechenden Bewilligungsvoraussetzungen erfüllt sind. Die Baubewilligungsbehörde ordnet in der Baubewilligung eine entsprechende Nutzungsbeschränkung an und weist unmittelbar nach Rechtskraft der Baubewilligung das Grundbuchamt an, die Nutzungsbeschränkung zum betreffenden Grundstück im Grundbuch anzumerken.</w:t>
      </w:r>
    </w:p>
    <w:p w14:paraId="1BD70C8B" w14:textId="77777777" w:rsidR="002511AA" w:rsidRPr="00A27727" w:rsidRDefault="002511AA" w:rsidP="002511AA">
      <w:pPr>
        <w:tabs>
          <w:tab w:val="left" w:pos="284"/>
        </w:tabs>
        <w:rPr>
          <w:szCs w:val="20"/>
        </w:rPr>
      </w:pPr>
    </w:p>
    <w:p w14:paraId="2408F85B" w14:textId="77777777" w:rsidR="002511AA" w:rsidRPr="00A27727" w:rsidRDefault="002511AA" w:rsidP="002511AA">
      <w:pPr>
        <w:tabs>
          <w:tab w:val="left" w:pos="284"/>
        </w:tabs>
        <w:spacing w:line="360" w:lineRule="auto"/>
        <w:rPr>
          <w:b/>
          <w:szCs w:val="20"/>
        </w:rPr>
      </w:pPr>
      <w:r>
        <w:rPr>
          <w:b/>
          <w:szCs w:val="20"/>
        </w:rPr>
        <w:t>Änderung der Nutzungsbeschränkungen</w:t>
      </w:r>
    </w:p>
    <w:p w14:paraId="072C75F5"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sidRPr="00A27727">
        <w:rPr>
          <w:rFonts w:ascii="Arial" w:eastAsia="Times New Roman" w:hAnsi="Arial" w:cs="Arial"/>
          <w:i/>
          <w:color w:val="auto"/>
          <w:szCs w:val="20"/>
        </w:rPr>
        <w:t>Art. 13</w:t>
      </w:r>
    </w:p>
    <w:p w14:paraId="4FB5E2A3" w14:textId="77777777" w:rsidR="002511AA" w:rsidRPr="00A27727" w:rsidRDefault="002511AA" w:rsidP="002511AA">
      <w:pPr>
        <w:spacing w:after="165"/>
        <w:rPr>
          <w:szCs w:val="20"/>
        </w:rPr>
      </w:pPr>
      <w:r w:rsidRPr="00A27727">
        <w:rPr>
          <w:szCs w:val="20"/>
        </w:rPr>
        <w:t>Die Änderungen folgender Nutzungsbeschränkungen bedürfen einer Baubewilligung:</w:t>
      </w:r>
    </w:p>
    <w:p w14:paraId="0FC46E9F" w14:textId="77777777" w:rsidR="002511AA" w:rsidRPr="00A27727" w:rsidRDefault="002511AA" w:rsidP="002511AA">
      <w:pPr>
        <w:pStyle w:val="Listenabsatz"/>
        <w:numPr>
          <w:ilvl w:val="0"/>
          <w:numId w:val="4"/>
        </w:numPr>
        <w:shd w:val="clear" w:color="auto" w:fill="FFFFFF"/>
        <w:rPr>
          <w:szCs w:val="20"/>
        </w:rPr>
      </w:pPr>
      <w:r w:rsidRPr="00A27727">
        <w:rPr>
          <w:szCs w:val="20"/>
        </w:rPr>
        <w:t>Wechsel der Nutzung nach Artikel 7 Absatz 1 Buchstabe a in die Nutzung als touristisch bewirtschaftete Wohnung;</w:t>
      </w:r>
    </w:p>
    <w:p w14:paraId="7DD47059" w14:textId="77777777" w:rsidR="002511AA" w:rsidRPr="00A27727" w:rsidRDefault="002511AA" w:rsidP="002511AA">
      <w:pPr>
        <w:pStyle w:val="Listenabsatz"/>
        <w:numPr>
          <w:ilvl w:val="0"/>
          <w:numId w:val="4"/>
        </w:numPr>
        <w:shd w:val="clear" w:color="auto" w:fill="FFFFFF"/>
        <w:rPr>
          <w:szCs w:val="20"/>
        </w:rPr>
      </w:pPr>
      <w:r w:rsidRPr="00A27727">
        <w:rPr>
          <w:szCs w:val="20"/>
        </w:rPr>
        <w:t>Wechsel der Nutzung innerhalb der Nutzungskategorien nach Artikel 7 Absatz 2.</w:t>
      </w:r>
    </w:p>
    <w:p w14:paraId="59E6F513" w14:textId="77777777" w:rsidR="002511AA" w:rsidRDefault="002511AA" w:rsidP="002511AA"/>
    <w:p w14:paraId="0C54C5BA" w14:textId="77777777" w:rsidR="002511AA" w:rsidRPr="00A27727" w:rsidRDefault="002511AA" w:rsidP="002511AA">
      <w:pPr>
        <w:tabs>
          <w:tab w:val="left" w:pos="284"/>
        </w:tabs>
        <w:spacing w:line="360" w:lineRule="auto"/>
        <w:rPr>
          <w:b/>
          <w:szCs w:val="20"/>
        </w:rPr>
      </w:pPr>
      <w:r>
        <w:rPr>
          <w:b/>
          <w:szCs w:val="20"/>
        </w:rPr>
        <w:t>Vollzug</w:t>
      </w:r>
    </w:p>
    <w:p w14:paraId="2B3232A9"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Pr>
          <w:rFonts w:ascii="Arial" w:eastAsia="Times New Roman" w:hAnsi="Arial" w:cs="Arial"/>
          <w:i/>
          <w:color w:val="auto"/>
          <w:szCs w:val="20"/>
        </w:rPr>
        <w:t>Art. 17 Amtliche Massnahmen bei unrechtmässiger Nutzung</w:t>
      </w:r>
    </w:p>
    <w:p w14:paraId="3FCE38D0" w14:textId="77777777" w:rsidR="002511AA" w:rsidRPr="00A27727" w:rsidRDefault="002511AA" w:rsidP="002511AA">
      <w:pPr>
        <w:spacing w:after="165"/>
        <w:rPr>
          <w:szCs w:val="20"/>
        </w:rPr>
      </w:pPr>
      <w:r w:rsidRPr="00A27727">
        <w:rPr>
          <w:szCs w:val="20"/>
          <w:vertAlign w:val="superscript"/>
        </w:rPr>
        <w:t>1</w:t>
      </w:r>
      <w:r w:rsidRPr="00A27727">
        <w:rPr>
          <w:szCs w:val="20"/>
        </w:rPr>
        <w:t> Wird eine Wohnung mit einer Nutzungsbeschränkung nach Artikel 7 Absatz 1 nicht rechtmässig genutzt, so setzt die zuständige Behörde der Eigentümerin oder dem Eigentümer unter Androhung der Ersatzvornahme und der Strafe nach Artikel 292 des Strafgesetzbuches</w:t>
      </w:r>
      <w:hyperlink r:id="rId9" w:anchor="fn-#a17-1" w:history="1">
        <w:r w:rsidRPr="00A27727">
          <w:rPr>
            <w:szCs w:val="20"/>
          </w:rPr>
          <w:t>1</w:t>
        </w:r>
      </w:hyperlink>
      <w:r w:rsidRPr="00A27727">
        <w:rPr>
          <w:szCs w:val="20"/>
        </w:rPr>
        <w:t> eine Frist zur Wiederherstellung des rechtmässigen Zustands. Sie kann auf Antrag der Eigentümerin oder des Eigentümers in begründeten Fällen eine Nachfrist ansetzen.</w:t>
      </w:r>
    </w:p>
    <w:p w14:paraId="65665EF9" w14:textId="77777777" w:rsidR="002511AA" w:rsidRPr="00A27727" w:rsidRDefault="002511AA" w:rsidP="002511AA">
      <w:pPr>
        <w:spacing w:after="165"/>
        <w:rPr>
          <w:szCs w:val="20"/>
        </w:rPr>
      </w:pPr>
      <w:r w:rsidRPr="00A27727">
        <w:rPr>
          <w:szCs w:val="20"/>
          <w:vertAlign w:val="superscript"/>
        </w:rPr>
        <w:t>2</w:t>
      </w:r>
      <w:r w:rsidRPr="00A27727">
        <w:rPr>
          <w:szCs w:val="20"/>
        </w:rPr>
        <w:t> Behebt die Eigentümerin oder der Eigentümer den rechtswidrigen Zustand nicht fristgerecht, so untersagt die zuständige Behörde die Benutzung der Wohnung und ordnet deren Versiegelung an.</w:t>
      </w:r>
    </w:p>
    <w:p w14:paraId="23566760" w14:textId="77777777" w:rsidR="002511AA" w:rsidRPr="00A27727" w:rsidRDefault="002511AA" w:rsidP="002511AA">
      <w:pPr>
        <w:spacing w:after="165"/>
        <w:rPr>
          <w:szCs w:val="20"/>
        </w:rPr>
      </w:pPr>
      <w:r w:rsidRPr="00A27727">
        <w:rPr>
          <w:szCs w:val="20"/>
          <w:vertAlign w:val="superscript"/>
        </w:rPr>
        <w:t>3</w:t>
      </w:r>
      <w:r w:rsidRPr="00A27727">
        <w:rPr>
          <w:szCs w:val="20"/>
        </w:rPr>
        <w:t> Die zuständige Behörde ergreift die Massnahmen, die zur Wiederherstellung des rechtmässigen Zustands nötig sind. Sie kann insbesondere die Wohnung unter Einhaltung der Nutzungsbeschränkung nach Artikel 7 Absatz 1 vermieten.</w:t>
      </w:r>
    </w:p>
    <w:p w14:paraId="44C89D73" w14:textId="77777777" w:rsidR="002511AA" w:rsidRPr="00603D5D" w:rsidRDefault="002511AA" w:rsidP="002511AA">
      <w:pPr>
        <w:spacing w:after="165"/>
      </w:pPr>
      <w:r>
        <w:t>(…)</w:t>
      </w:r>
    </w:p>
    <w:p w14:paraId="5F4D1ADE" w14:textId="77777777" w:rsidR="002511AA" w:rsidRDefault="002511AA" w:rsidP="002511AA">
      <w:pPr>
        <w:rPr>
          <w:lang w:val="de-DE"/>
        </w:rPr>
      </w:pPr>
    </w:p>
    <w:p w14:paraId="2C0CAB8A" w14:textId="77777777" w:rsidR="002511AA" w:rsidRPr="00A27727" w:rsidRDefault="002511AA" w:rsidP="002511AA">
      <w:pPr>
        <w:tabs>
          <w:tab w:val="left" w:pos="284"/>
        </w:tabs>
        <w:spacing w:line="360" w:lineRule="auto"/>
        <w:rPr>
          <w:b/>
          <w:szCs w:val="20"/>
        </w:rPr>
      </w:pPr>
      <w:r>
        <w:rPr>
          <w:b/>
          <w:szCs w:val="20"/>
        </w:rPr>
        <w:t>Strafbestimmungen</w:t>
      </w:r>
    </w:p>
    <w:p w14:paraId="7D1D8E64"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Pr>
          <w:rFonts w:ascii="Arial" w:eastAsia="Times New Roman" w:hAnsi="Arial" w:cs="Arial"/>
          <w:i/>
          <w:color w:val="auto"/>
          <w:szCs w:val="20"/>
        </w:rPr>
        <w:t>Art. 21 Missachtung von Nutzungsbeschränkungen</w:t>
      </w:r>
    </w:p>
    <w:p w14:paraId="71EC9A8C" w14:textId="77777777" w:rsidR="002511AA" w:rsidRPr="00A27727" w:rsidRDefault="002511AA" w:rsidP="002511AA">
      <w:pPr>
        <w:spacing w:after="165"/>
        <w:rPr>
          <w:szCs w:val="20"/>
        </w:rPr>
      </w:pPr>
      <w:r w:rsidRPr="00A27727">
        <w:rPr>
          <w:szCs w:val="20"/>
          <w:vertAlign w:val="superscript"/>
        </w:rPr>
        <w:t>1 </w:t>
      </w:r>
      <w:r w:rsidRPr="00A27727">
        <w:rPr>
          <w:szCs w:val="20"/>
        </w:rPr>
        <w:t>Wer vorsätzlich eine Nutzungsbeschränkung nach diesem Gesetz missachtet, wird mit Freiheitsstrafe bis zu drei Jahren oder Geldstrafe bestraft.</w:t>
      </w:r>
    </w:p>
    <w:p w14:paraId="1CF1CF64" w14:textId="77777777" w:rsidR="002511AA" w:rsidRPr="00A27727" w:rsidRDefault="002511AA" w:rsidP="002511AA">
      <w:pPr>
        <w:spacing w:after="165"/>
        <w:rPr>
          <w:szCs w:val="20"/>
        </w:rPr>
      </w:pPr>
      <w:r w:rsidRPr="00A27727">
        <w:rPr>
          <w:szCs w:val="20"/>
          <w:vertAlign w:val="superscript"/>
        </w:rPr>
        <w:t>2 </w:t>
      </w:r>
      <w:r w:rsidRPr="00A27727">
        <w:rPr>
          <w:szCs w:val="20"/>
        </w:rPr>
        <w:t>Handelt der Täter fahrlässig, so ist die Strafe Geldstrafe bis zu 180 Tagessätzen.</w:t>
      </w:r>
    </w:p>
    <w:p w14:paraId="03AE03C7" w14:textId="77777777" w:rsidR="002511AA" w:rsidRPr="00A27727" w:rsidRDefault="002511AA" w:rsidP="002511AA">
      <w:pPr>
        <w:spacing w:after="165"/>
        <w:rPr>
          <w:szCs w:val="20"/>
        </w:rPr>
      </w:pPr>
      <w:r w:rsidRPr="00A27727">
        <w:rPr>
          <w:szCs w:val="20"/>
          <w:vertAlign w:val="superscript"/>
        </w:rPr>
        <w:t>3 </w:t>
      </w:r>
      <w:r w:rsidRPr="00A27727">
        <w:rPr>
          <w:szCs w:val="20"/>
        </w:rPr>
        <w:t>Wird die Nutzungsbeschränkung nachträglich widerrufen, so ist die Strafe Geldstrafe bis zu 90 Tagessätzen.</w:t>
      </w:r>
    </w:p>
    <w:p w14:paraId="45D3919B" w14:textId="77777777" w:rsidR="002511AA" w:rsidRPr="00A27727" w:rsidRDefault="002511AA" w:rsidP="002511AA">
      <w:pPr>
        <w:spacing w:after="165"/>
        <w:rPr>
          <w:szCs w:val="20"/>
        </w:rPr>
      </w:pPr>
      <w:r w:rsidRPr="00A27727">
        <w:rPr>
          <w:szCs w:val="20"/>
          <w:vertAlign w:val="superscript"/>
        </w:rPr>
        <w:t>4 </w:t>
      </w:r>
      <w:r w:rsidRPr="00A27727">
        <w:rPr>
          <w:szCs w:val="20"/>
        </w:rPr>
        <w:t>Bis zur rechtskräftigen Erledigung eines Verfahrens auf Sistierung oder Änderung einer Nutzungsbeschränkung ist die strafrechtliche Beurteilung aufzuschieben.</w:t>
      </w:r>
    </w:p>
    <w:p w14:paraId="6085B682" w14:textId="77777777" w:rsidR="002511AA" w:rsidRDefault="002511AA" w:rsidP="002511AA">
      <w:r>
        <w:br w:type="page"/>
      </w:r>
    </w:p>
    <w:p w14:paraId="04B772D8" w14:textId="77777777" w:rsidR="002511AA" w:rsidRPr="00A27727" w:rsidRDefault="002511AA" w:rsidP="002511AA"/>
    <w:p w14:paraId="0CBD853D" w14:textId="77777777" w:rsidR="002511AA" w:rsidRPr="00A27727" w:rsidRDefault="002511AA" w:rsidP="002511AA">
      <w:pPr>
        <w:tabs>
          <w:tab w:val="left" w:pos="5040"/>
        </w:tabs>
        <w:rPr>
          <w:b/>
          <w:smallCaps/>
          <w:sz w:val="28"/>
          <w:szCs w:val="28"/>
        </w:rPr>
      </w:pPr>
      <w:r w:rsidRPr="00A27727">
        <w:rPr>
          <w:b/>
          <w:smallCaps/>
          <w:sz w:val="28"/>
          <w:szCs w:val="28"/>
        </w:rPr>
        <w:t xml:space="preserve">Auszug </w:t>
      </w:r>
      <w:r>
        <w:rPr>
          <w:b/>
          <w:smallCaps/>
          <w:sz w:val="28"/>
          <w:szCs w:val="28"/>
        </w:rPr>
        <w:t xml:space="preserve">Verordnung </w:t>
      </w:r>
      <w:r w:rsidRPr="00A27727">
        <w:rPr>
          <w:b/>
          <w:smallCaps/>
          <w:sz w:val="28"/>
          <w:szCs w:val="28"/>
        </w:rPr>
        <w:t>über Zweitwohnung</w:t>
      </w:r>
      <w:r>
        <w:rPr>
          <w:b/>
          <w:smallCaps/>
          <w:sz w:val="28"/>
          <w:szCs w:val="28"/>
        </w:rPr>
        <w:t>en</w:t>
      </w:r>
      <w:r w:rsidRPr="00A27727">
        <w:rPr>
          <w:b/>
          <w:smallCaps/>
          <w:sz w:val="28"/>
          <w:szCs w:val="28"/>
        </w:rPr>
        <w:t xml:space="preserve"> vom </w:t>
      </w:r>
      <w:r>
        <w:rPr>
          <w:b/>
          <w:smallCaps/>
          <w:sz w:val="28"/>
          <w:szCs w:val="28"/>
        </w:rPr>
        <w:t>22. August 2016</w:t>
      </w:r>
    </w:p>
    <w:p w14:paraId="5DAD348C" w14:textId="77777777" w:rsidR="002511AA" w:rsidRPr="006A70C4" w:rsidRDefault="002511AA" w:rsidP="002511AA">
      <w:pPr>
        <w:rPr>
          <w:b/>
        </w:rPr>
      </w:pPr>
    </w:p>
    <w:p w14:paraId="58C5D253" w14:textId="77777777" w:rsidR="002511AA" w:rsidRPr="00A27727" w:rsidRDefault="002511AA" w:rsidP="002511AA">
      <w:pPr>
        <w:tabs>
          <w:tab w:val="left" w:pos="284"/>
        </w:tabs>
        <w:rPr>
          <w:b/>
          <w:szCs w:val="20"/>
        </w:rPr>
      </w:pPr>
      <w:r w:rsidRPr="00A27727">
        <w:rPr>
          <w:b/>
          <w:szCs w:val="20"/>
        </w:rPr>
        <w:t>Umnutzung einer touristisch bewirtschafteten Wohnung und Meldung</w:t>
      </w:r>
    </w:p>
    <w:p w14:paraId="38229078"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Pr>
          <w:rFonts w:ascii="Arial" w:eastAsia="Times New Roman" w:hAnsi="Arial" w:cs="Arial"/>
          <w:i/>
          <w:color w:val="auto"/>
          <w:szCs w:val="20"/>
        </w:rPr>
        <w:t xml:space="preserve">Art. 7 </w:t>
      </w:r>
    </w:p>
    <w:p w14:paraId="210D2F07" w14:textId="77777777" w:rsidR="002511AA" w:rsidRPr="00A27727" w:rsidRDefault="002511AA" w:rsidP="002511AA">
      <w:pPr>
        <w:rPr>
          <w:rFonts w:eastAsia="Calibri"/>
          <w:szCs w:val="20"/>
          <w:lang w:eastAsia="en-US"/>
        </w:rPr>
      </w:pPr>
    </w:p>
    <w:p w14:paraId="11D1D472" w14:textId="77777777" w:rsidR="002511AA" w:rsidRPr="00A27727" w:rsidRDefault="002511AA" w:rsidP="002511AA">
      <w:pPr>
        <w:rPr>
          <w:rFonts w:eastAsia="Calibri"/>
          <w:szCs w:val="20"/>
          <w:lang w:eastAsia="en-US"/>
        </w:rPr>
      </w:pPr>
    </w:p>
    <w:p w14:paraId="39CFD608" w14:textId="77777777" w:rsidR="002511AA" w:rsidRPr="00A27727" w:rsidRDefault="002511AA" w:rsidP="002511AA">
      <w:pPr>
        <w:tabs>
          <w:tab w:val="left" w:pos="5040"/>
        </w:tabs>
        <w:rPr>
          <w:rFonts w:eastAsia="Calibri"/>
          <w:szCs w:val="20"/>
          <w:lang w:eastAsia="en-US"/>
        </w:rPr>
      </w:pPr>
      <w:r w:rsidRPr="00A27727">
        <w:rPr>
          <w:b/>
          <w:smallCaps/>
          <w:sz w:val="28"/>
          <w:szCs w:val="28"/>
        </w:rPr>
        <w:t xml:space="preserve">Auszug </w:t>
      </w:r>
      <w:r>
        <w:rPr>
          <w:b/>
          <w:smallCaps/>
          <w:sz w:val="28"/>
          <w:szCs w:val="28"/>
        </w:rPr>
        <w:t>Registerharmonisierungsgesetz vom 23. Juni 2006</w:t>
      </w:r>
    </w:p>
    <w:p w14:paraId="7552C8B8" w14:textId="77777777" w:rsidR="002511AA" w:rsidRPr="006A70C4" w:rsidRDefault="002511AA" w:rsidP="002511AA">
      <w:pPr>
        <w:rPr>
          <w:rFonts w:eastAsia="Calibri"/>
          <w:b/>
          <w:szCs w:val="20"/>
          <w:lang w:eastAsia="en-US"/>
        </w:rPr>
      </w:pPr>
    </w:p>
    <w:p w14:paraId="03EB368E"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Pr>
          <w:rFonts w:ascii="Arial" w:eastAsia="Times New Roman" w:hAnsi="Arial" w:cs="Arial"/>
          <w:i/>
          <w:color w:val="auto"/>
          <w:szCs w:val="20"/>
        </w:rPr>
        <w:t>Art. 3 Begriffe</w:t>
      </w:r>
    </w:p>
    <w:p w14:paraId="719894DD" w14:textId="77777777" w:rsidR="002511AA" w:rsidRPr="00603D5D" w:rsidRDefault="002511AA" w:rsidP="002511AA">
      <w:pPr>
        <w:spacing w:after="165"/>
      </w:pPr>
      <w:r>
        <w:t>(…)</w:t>
      </w:r>
    </w:p>
    <w:p w14:paraId="0593D3BB" w14:textId="77777777" w:rsidR="002511AA" w:rsidRDefault="002511AA" w:rsidP="002511AA">
      <w:pPr>
        <w:spacing w:after="165"/>
      </w:pPr>
      <w:r>
        <w:t xml:space="preserve">b. </w:t>
      </w:r>
      <w:r w:rsidRPr="006A70C4">
        <w:rPr>
          <w:i/>
        </w:rPr>
        <w:t>Niederlassungsgemeinde</w:t>
      </w:r>
      <w:r>
        <w:t xml:space="preserve">: Gemeinde, in der sich eine Person in der Absicht dauernden Verbleibens aufhält um dort den Mittelpunkt ihres Lebens zu begründen, welcher für Dritte erkennbar sein muss; eine Person wird in derjenigen Gemeinde als niedergelassen betrachtet, in der sie das erforderliche Dokument hinterlegt hat, und kann nur eine Niederlassungsgemeinde haben; </w:t>
      </w:r>
    </w:p>
    <w:p w14:paraId="132E60B6" w14:textId="77777777" w:rsidR="002511AA" w:rsidRPr="00603D5D" w:rsidRDefault="002511AA" w:rsidP="002511AA">
      <w:pPr>
        <w:spacing w:after="165"/>
      </w:pPr>
      <w:r>
        <w:t>(…)</w:t>
      </w:r>
    </w:p>
    <w:p w14:paraId="7540ED4C" w14:textId="77777777" w:rsidR="002511AA" w:rsidRDefault="002511AA" w:rsidP="002511AA"/>
    <w:p w14:paraId="56DC6BE0" w14:textId="77777777" w:rsidR="002511AA" w:rsidRDefault="002511AA" w:rsidP="002511AA"/>
    <w:p w14:paraId="61236689" w14:textId="77777777" w:rsidR="002511AA" w:rsidRPr="00B74ACD" w:rsidRDefault="002511AA" w:rsidP="002511AA">
      <w:pPr>
        <w:jc w:val="center"/>
      </w:pPr>
      <w:r>
        <w:t xml:space="preserve">Die vollständigen Gesetzestexte können online unter </w:t>
      </w:r>
      <w:hyperlink r:id="rId10" w:history="1">
        <w:r w:rsidRPr="00703BB8">
          <w:rPr>
            <w:rStyle w:val="Hyperlink"/>
          </w:rPr>
          <w:t>www.admin.ch</w:t>
        </w:r>
      </w:hyperlink>
      <w:r>
        <w:t xml:space="preserve"> eingesehen werden.</w:t>
      </w:r>
    </w:p>
    <w:p w14:paraId="262180C5" w14:textId="00ED5A66" w:rsidR="001F4C48" w:rsidRDefault="001F4C48" w:rsidP="001F4C48">
      <w:pPr>
        <w:tabs>
          <w:tab w:val="left" w:pos="7371"/>
        </w:tabs>
        <w:ind w:left="5245"/>
      </w:pPr>
    </w:p>
    <w:sectPr w:rsidR="001F4C48" w:rsidSect="002511AA">
      <w:headerReference w:type="default" r:id="rId11"/>
      <w:pgSz w:w="11906" w:h="16838"/>
      <w:pgMar w:top="1417" w:right="141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1D5CE" w14:textId="77777777" w:rsidR="00501E8D" w:rsidRDefault="00501E8D" w:rsidP="008C65A5">
      <w:r>
        <w:separator/>
      </w:r>
    </w:p>
  </w:endnote>
  <w:endnote w:type="continuationSeparator" w:id="0">
    <w:p w14:paraId="3BFFCF53" w14:textId="77777777" w:rsidR="00501E8D" w:rsidRDefault="00501E8D" w:rsidP="008C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83569" w14:textId="77777777" w:rsidR="00501E8D" w:rsidRDefault="00501E8D" w:rsidP="008C65A5">
      <w:r>
        <w:separator/>
      </w:r>
    </w:p>
  </w:footnote>
  <w:footnote w:type="continuationSeparator" w:id="0">
    <w:p w14:paraId="53D9B8C7" w14:textId="77777777" w:rsidR="00501E8D" w:rsidRDefault="00501E8D" w:rsidP="008C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F74D" w14:textId="77777777" w:rsidR="00E3122A" w:rsidRDefault="008C65A5" w:rsidP="00E3122A">
    <w:pPr>
      <w:pStyle w:val="Kopfzeile"/>
      <w:tabs>
        <w:tab w:val="left" w:pos="1230"/>
      </w:tabs>
      <w:rPr>
        <w:b/>
        <w:sz w:val="24"/>
      </w:rPr>
    </w:pPr>
    <w:r>
      <w:rPr>
        <w:noProof/>
        <w:lang w:eastAsia="de-CH"/>
      </w:rPr>
      <w:drawing>
        <wp:anchor distT="0" distB="0" distL="114300" distR="114300" simplePos="0" relativeHeight="251658240" behindDoc="1" locked="0" layoutInCell="1" allowOverlap="1" wp14:anchorId="75B6391F" wp14:editId="6ABA4FE6">
          <wp:simplePos x="0" y="0"/>
          <wp:positionH relativeFrom="column">
            <wp:posOffset>-4445</wp:posOffset>
          </wp:positionH>
          <wp:positionV relativeFrom="page">
            <wp:posOffset>485775</wp:posOffset>
          </wp:positionV>
          <wp:extent cx="666750" cy="843280"/>
          <wp:effectExtent l="0" t="0" r="0" b="0"/>
          <wp:wrapNone/>
          <wp:docPr id="4" name="Grafik 4" descr="C:\Users\mzbin\AppData\Local\Microsoft\Windows\INetCache\Content.Word\Guggisberg-Wappen_Web_27cm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bin\AppData\Local\Microsoft\Windows\INetCache\Content.Word\Guggisberg-Wappen_Web_27cm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22A">
      <w:tab/>
    </w:r>
    <w:r w:rsidR="00E3122A" w:rsidRPr="00E3122A">
      <w:rPr>
        <w:b/>
        <w:sz w:val="24"/>
      </w:rPr>
      <w:t>Einwohnergemeinde Guggisberg</w:t>
    </w:r>
  </w:p>
  <w:p w14:paraId="70742122" w14:textId="77777777" w:rsidR="00E3122A" w:rsidRDefault="00E3122A" w:rsidP="00E3122A">
    <w:pPr>
      <w:pStyle w:val="Kopfzeile"/>
      <w:tabs>
        <w:tab w:val="left" w:pos="1230"/>
      </w:tabs>
      <w:rPr>
        <w:szCs w:val="20"/>
      </w:rPr>
    </w:pPr>
    <w:r>
      <w:rPr>
        <w:b/>
        <w:sz w:val="24"/>
      </w:rPr>
      <w:tab/>
    </w:r>
    <w:r w:rsidR="00BE6FA9">
      <w:rPr>
        <w:sz w:val="24"/>
      </w:rPr>
      <w:t>Bauverwaltung</w:t>
    </w:r>
  </w:p>
  <w:p w14:paraId="3227FF3A" w14:textId="77777777" w:rsidR="00E3122A" w:rsidRPr="00E3122A" w:rsidRDefault="00067C53" w:rsidP="00E3122A">
    <w:pPr>
      <w:tabs>
        <w:tab w:val="center" w:pos="4536"/>
        <w:tab w:val="right" w:pos="9072"/>
      </w:tabs>
      <w:jc w:val="right"/>
      <w:rPr>
        <w:szCs w:val="20"/>
      </w:rPr>
    </w:pPr>
    <w:r>
      <w:rPr>
        <w:szCs w:val="20"/>
      </w:rPr>
      <w:t xml:space="preserve">Dorf 67, </w:t>
    </w:r>
    <w:r w:rsidR="00E3122A" w:rsidRPr="00E3122A">
      <w:rPr>
        <w:szCs w:val="20"/>
      </w:rPr>
      <w:t>3158 Guggisberg</w:t>
    </w:r>
  </w:p>
  <w:p w14:paraId="437720DF" w14:textId="77777777" w:rsidR="00E3122A" w:rsidRPr="00E3122A" w:rsidRDefault="00E3122A" w:rsidP="00E3122A">
    <w:pPr>
      <w:tabs>
        <w:tab w:val="center" w:pos="4536"/>
        <w:tab w:val="right" w:pos="9072"/>
      </w:tabs>
      <w:jc w:val="right"/>
      <w:rPr>
        <w:szCs w:val="20"/>
      </w:rPr>
    </w:pPr>
    <w:r w:rsidRPr="00E3122A">
      <w:rPr>
        <w:szCs w:val="20"/>
      </w:rPr>
      <w:t xml:space="preserve">Telefon 031 735 51 29 </w:t>
    </w:r>
  </w:p>
  <w:p w14:paraId="4C34EBD2" w14:textId="77777777" w:rsidR="00E3122A" w:rsidRPr="00E3122A" w:rsidRDefault="00E3122A" w:rsidP="00E3122A">
    <w:pPr>
      <w:tabs>
        <w:tab w:val="center" w:pos="4536"/>
        <w:tab w:val="right" w:pos="9072"/>
      </w:tabs>
      <w:jc w:val="right"/>
    </w:pPr>
    <w:r w:rsidRPr="00E3122A">
      <w:t xml:space="preserve">E-Mail  </w:t>
    </w:r>
    <w:hyperlink r:id="rId2" w:history="1">
      <w:r w:rsidRPr="00E3122A">
        <w:rPr>
          <w:color w:val="0563C1" w:themeColor="hyperlink"/>
          <w:u w:val="single"/>
        </w:rPr>
        <w:t>info@guggisberg-be.ch</w:t>
      </w:r>
    </w:hyperlink>
  </w:p>
  <w:p w14:paraId="2547A4D8" w14:textId="77777777" w:rsidR="00E3122A" w:rsidRPr="00E3122A" w:rsidRDefault="00E3122A" w:rsidP="00E3122A">
    <w:pPr>
      <w:pStyle w:val="Kopfzeile"/>
      <w:pBdr>
        <w:bottom w:val="single" w:sz="4" w:space="1" w:color="auto"/>
      </w:pBdr>
      <w:tabs>
        <w:tab w:val="left" w:pos="1230"/>
      </w:tabs>
      <w:rPr>
        <w:szCs w:val="20"/>
      </w:rPr>
    </w:pPr>
  </w:p>
  <w:p w14:paraId="488BA5DF" w14:textId="77777777" w:rsidR="008C65A5" w:rsidRDefault="008C65A5" w:rsidP="00E3122A">
    <w:pPr>
      <w:pStyle w:val="Kopfzeile"/>
      <w:tabs>
        <w:tab w:val="clear" w:pos="4536"/>
        <w:tab w:val="clear" w:pos="9072"/>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6FD9"/>
    <w:multiLevelType w:val="hybridMultilevel"/>
    <w:tmpl w:val="6C4AC7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FD73BDE"/>
    <w:multiLevelType w:val="hybridMultilevel"/>
    <w:tmpl w:val="6C4AC7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5AD04DE"/>
    <w:multiLevelType w:val="hybridMultilevel"/>
    <w:tmpl w:val="6C4AC7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36F3C0F"/>
    <w:multiLevelType w:val="hybridMultilevel"/>
    <w:tmpl w:val="B6B6FDB8"/>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AA"/>
    <w:rsid w:val="00067C53"/>
    <w:rsid w:val="001F4C48"/>
    <w:rsid w:val="002511AA"/>
    <w:rsid w:val="00310D18"/>
    <w:rsid w:val="003B43CA"/>
    <w:rsid w:val="003D5765"/>
    <w:rsid w:val="00501E8D"/>
    <w:rsid w:val="006B5E76"/>
    <w:rsid w:val="00710B4C"/>
    <w:rsid w:val="00724763"/>
    <w:rsid w:val="007B18BD"/>
    <w:rsid w:val="008C65A5"/>
    <w:rsid w:val="00993689"/>
    <w:rsid w:val="00A1427D"/>
    <w:rsid w:val="00B31BE4"/>
    <w:rsid w:val="00BE6FA9"/>
    <w:rsid w:val="00CE3C79"/>
    <w:rsid w:val="00E3122A"/>
    <w:rsid w:val="00FC13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803E5"/>
  <w15:chartTrackingRefBased/>
  <w15:docId w15:val="{6000C9EC-EBF9-4BBD-9259-8B1B9490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11AA"/>
    <w:pPr>
      <w:spacing w:after="0" w:line="240" w:lineRule="auto"/>
    </w:pPr>
    <w:rPr>
      <w:rFonts w:ascii="Arial" w:eastAsia="Times New Roman" w:hAnsi="Arial" w:cs="Arial"/>
      <w:bCs/>
      <w:sz w:val="20"/>
      <w:szCs w:val="24"/>
      <w:lang w:eastAsia="de-DE"/>
    </w:rPr>
  </w:style>
  <w:style w:type="paragraph" w:styleId="berschrift5">
    <w:name w:val="heading 5"/>
    <w:basedOn w:val="Standard"/>
    <w:next w:val="Standard"/>
    <w:link w:val="berschrift5Zchn"/>
    <w:semiHidden/>
    <w:unhideWhenUsed/>
    <w:qFormat/>
    <w:rsid w:val="002511AA"/>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5A5"/>
    <w:pPr>
      <w:tabs>
        <w:tab w:val="center" w:pos="4536"/>
        <w:tab w:val="right" w:pos="9072"/>
      </w:tabs>
    </w:pPr>
  </w:style>
  <w:style w:type="character" w:customStyle="1" w:styleId="KopfzeileZchn">
    <w:name w:val="Kopfzeile Zchn"/>
    <w:basedOn w:val="Absatz-Standardschriftart"/>
    <w:link w:val="Kopfzeile"/>
    <w:uiPriority w:val="99"/>
    <w:rsid w:val="008C65A5"/>
  </w:style>
  <w:style w:type="paragraph" w:styleId="Fuzeile">
    <w:name w:val="footer"/>
    <w:basedOn w:val="Standard"/>
    <w:link w:val="FuzeileZchn"/>
    <w:uiPriority w:val="99"/>
    <w:unhideWhenUsed/>
    <w:rsid w:val="008C65A5"/>
    <w:pPr>
      <w:tabs>
        <w:tab w:val="center" w:pos="4536"/>
        <w:tab w:val="right" w:pos="9072"/>
      </w:tabs>
    </w:pPr>
  </w:style>
  <w:style w:type="character" w:customStyle="1" w:styleId="FuzeileZchn">
    <w:name w:val="Fußzeile Zchn"/>
    <w:basedOn w:val="Absatz-Standardschriftart"/>
    <w:link w:val="Fuzeile"/>
    <w:uiPriority w:val="99"/>
    <w:rsid w:val="008C65A5"/>
  </w:style>
  <w:style w:type="paragraph" w:styleId="Sprechblasentext">
    <w:name w:val="Balloon Text"/>
    <w:basedOn w:val="Standard"/>
    <w:link w:val="SprechblasentextZchn"/>
    <w:uiPriority w:val="99"/>
    <w:semiHidden/>
    <w:unhideWhenUsed/>
    <w:rsid w:val="00E312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122A"/>
    <w:rPr>
      <w:rFonts w:ascii="Segoe UI" w:hAnsi="Segoe UI" w:cs="Segoe UI"/>
      <w:sz w:val="18"/>
      <w:szCs w:val="18"/>
    </w:rPr>
  </w:style>
  <w:style w:type="character" w:customStyle="1" w:styleId="berschrift5Zchn">
    <w:name w:val="Überschrift 5 Zchn"/>
    <w:basedOn w:val="Absatz-Standardschriftart"/>
    <w:link w:val="berschrift5"/>
    <w:semiHidden/>
    <w:rsid w:val="002511AA"/>
    <w:rPr>
      <w:rFonts w:asciiTheme="majorHAnsi" w:eastAsiaTheme="majorEastAsia" w:hAnsiTheme="majorHAnsi" w:cstheme="majorBidi"/>
      <w:bCs/>
      <w:color w:val="2F5496" w:themeColor="accent1" w:themeShade="BF"/>
      <w:sz w:val="20"/>
      <w:szCs w:val="24"/>
      <w:lang w:eastAsia="de-DE"/>
    </w:rPr>
  </w:style>
  <w:style w:type="character" w:styleId="Hyperlink">
    <w:name w:val="Hyperlink"/>
    <w:basedOn w:val="Absatz-Standardschriftart"/>
    <w:rsid w:val="002511AA"/>
    <w:rPr>
      <w:color w:val="0000FF"/>
      <w:u w:val="single"/>
    </w:rPr>
  </w:style>
  <w:style w:type="paragraph" w:styleId="StandardWeb">
    <w:name w:val="Normal (Web)"/>
    <w:basedOn w:val="Standard"/>
    <w:next w:val="Standard"/>
    <w:uiPriority w:val="99"/>
    <w:rsid w:val="002511AA"/>
    <w:pPr>
      <w:widowControl w:val="0"/>
      <w:spacing w:before="100" w:beforeAutospacing="1" w:after="100" w:afterAutospacing="1"/>
    </w:pPr>
    <w:rPr>
      <w:lang w:val="de-DE"/>
    </w:rPr>
  </w:style>
  <w:style w:type="paragraph" w:styleId="Listenabsatz">
    <w:name w:val="List Paragraph"/>
    <w:basedOn w:val="Standard"/>
    <w:uiPriority w:val="34"/>
    <w:qFormat/>
    <w:rsid w:val="0025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140036/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min.ch/opc/de/classified-compilation/20140036/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min.ch" TargetMode="External"/><Relationship Id="rId4" Type="http://schemas.openxmlformats.org/officeDocument/2006/relationships/webSettings" Target="webSettings.xml"/><Relationship Id="rId9" Type="http://schemas.openxmlformats.org/officeDocument/2006/relationships/hyperlink" Target="https://www.admin.ch/opc/de/classified-compilation/20140036/index.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guggisberg-be.ch"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gemein\Bauwesen%20Strassen%20Grundeigentum\Vorlagen\Briefvorlage%20BV.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BV.dotx</Template>
  <TotalTime>0</TotalTime>
  <Pages>4</Pages>
  <Words>1287</Words>
  <Characters>8111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Finanz 2</dc:creator>
  <cp:keywords/>
  <dc:description/>
  <cp:lastModifiedBy>Andrea Schmied</cp:lastModifiedBy>
  <cp:revision>2</cp:revision>
  <cp:lastPrinted>2018-04-24T06:03:00Z</cp:lastPrinted>
  <dcterms:created xsi:type="dcterms:W3CDTF">2022-09-26T13:06:00Z</dcterms:created>
  <dcterms:modified xsi:type="dcterms:W3CDTF">2022-09-26T13:06:00Z</dcterms:modified>
</cp:coreProperties>
</file>